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sdt>
        <w:sdtPr>
          <w:tag w:val="goog_rdk_0"/>
        </w:sdtPr>
        <w:sdtContent>
          <w:commentRangeStart w:id="0"/>
        </w:sdtContent>
      </w:sdt>
      <w:r w:rsidDel="00000000" w:rsidR="00000000" w:rsidRPr="00000000">
        <w:rPr>
          <w:b w:val="1"/>
          <w:color w:val="000000"/>
          <w:rtl w:val="0"/>
        </w:rPr>
        <w:t xml:space="preserve">COMMUNITY RELATIONS</w:t>
        <w:tab/>
        <w:t xml:space="preserve">4180</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pStyle w:val="Heading1"/>
        <w:rPr/>
      </w:pPr>
      <w:bookmarkStart w:colFirst="0" w:colLast="0" w:name="_heading=h.gjdgxs" w:id="0"/>
      <w:bookmarkEnd w:id="0"/>
      <w:r w:rsidDel="00000000" w:rsidR="00000000" w:rsidRPr="00000000">
        <w:rPr>
          <w:rtl w:val="0"/>
        </w:rPr>
        <w:t xml:space="preserve">Community Involvement in Student Nutrition and Exercise</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The effectiveness of school-based nutrition programs and services can be enhanced by outreach efforts in the surrounding community</w:t>
      </w:r>
      <w:sdt>
        <w:sdtPr>
          <w:tag w:val="goog_rdk_1"/>
        </w:sdtPr>
        <w:sdtContent>
          <w:commentRangeStart w:id="1"/>
        </w:sdtContent>
      </w:sdt>
      <w:r w:rsidDel="00000000" w:rsidR="00000000" w:rsidRPr="00000000">
        <w:rPr>
          <w:color w:val="000000"/>
          <w:rtl w:val="0"/>
        </w:rPr>
        <w:t xml:space="preserve">.</w:t>
      </w:r>
      <w:r w:rsidDel="00000000" w:rsidR="00000000" w:rsidRPr="00000000">
        <w:rPr>
          <w:color w:val="000000"/>
          <w:shd w:fill="ffe599" w:val="clear"/>
          <w:rtl w:val="0"/>
        </w:rPr>
        <w:t xml:space="preserve"> Food Service</w:t>
      </w:r>
      <w:r w:rsidDel="00000000" w:rsidR="00000000" w:rsidRPr="00000000">
        <w:rPr>
          <w:color w:val="000000"/>
          <w:rtl w:val="0"/>
        </w:rPr>
        <w:t xml:space="preserve"> Personnel should be familiar with the health and nutritional resources available through the community and local agencies. </w:t>
      </w:r>
      <w:r w:rsidDel="00000000" w:rsidR="00000000" w:rsidRPr="00000000">
        <w:rPr>
          <w:strike w:val="1"/>
          <w:color w:val="000000"/>
          <w:rtl w:val="0"/>
        </w:rPr>
        <w:t xml:space="preserve">Contacts should be made with the health department, community nutrition programs, health centers, local food pantries, and fitness programs. Once contact has been established,</w:t>
      </w:r>
      <w:r w:rsidDel="00000000" w:rsidR="00000000" w:rsidRPr="00000000">
        <w:rPr>
          <w:color w:val="000000"/>
          <w:rtl w:val="0"/>
        </w:rPr>
        <w:t xml:space="preserve"> </w:t>
      </w:r>
      <w:r w:rsidDel="00000000" w:rsidR="00000000" w:rsidRPr="00000000">
        <w:rPr>
          <w:rtl w:val="0"/>
        </w:rPr>
        <w:t xml:space="preserve">C</w:t>
      </w:r>
      <w:r w:rsidDel="00000000" w:rsidR="00000000" w:rsidRPr="00000000">
        <w:rPr>
          <w:color w:val="000000"/>
          <w:rtl w:val="0"/>
        </w:rPr>
        <w:t xml:space="preserve">ollaborative efforts should be made </w:t>
      </w:r>
      <w:r w:rsidDel="00000000" w:rsidR="00000000" w:rsidRPr="00000000">
        <w:rPr>
          <w:strike w:val="1"/>
          <w:color w:val="000000"/>
          <w:rtl w:val="0"/>
        </w:rPr>
        <w:t xml:space="preserve">with other community agencies</w:t>
      </w:r>
      <w:commentRangeEnd w:id="1"/>
      <w:r w:rsidDel="00000000" w:rsidR="00000000" w:rsidRPr="00000000">
        <w:commentReference w:id="1"/>
      </w:r>
      <w:r w:rsidDel="00000000" w:rsidR="00000000" w:rsidRPr="00000000">
        <w:rPr>
          <w:color w:val="000000"/>
          <w:rtl w:val="0"/>
        </w:rPr>
        <w:t xml:space="preserve"> to positively influence the health and nutritional status of school-age children.</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color w:val="000000"/>
          <w:rtl w:val="0"/>
        </w:rPr>
        <w:t xml:space="preserve">Schools may work with a variety of media to spread the word to the community about a healthy school nutrition environment, such as local </w:t>
      </w:r>
      <w:r w:rsidDel="00000000" w:rsidR="00000000" w:rsidRPr="00000000">
        <w:rPr>
          <w:rtl w:val="0"/>
        </w:rPr>
        <w:t xml:space="preserve">newspapers</w:t>
      </w:r>
      <w:r w:rsidDel="00000000" w:rsidR="00000000" w:rsidRPr="00000000">
        <w:rPr>
          <w:color w:val="000000"/>
          <w:rtl w:val="0"/>
        </w:rPr>
        <w:t xml:space="preserve"> and television stations.</w:t>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pStyle w:val="Subtitle"/>
        <w:rPr/>
      </w:pPr>
      <w:r w:rsidDel="00000000" w:rsidR="00000000" w:rsidRPr="00000000">
        <w:rPr>
          <w:rtl w:val="0"/>
        </w:rPr>
        <w:t xml:space="preserve">Parent Involvement</w:t>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color w:val="000000"/>
          <w:rtl w:val="0"/>
        </w:rPr>
        <w:t xml:space="preserve">The District will support parents’ efforts to provide a healthy diet and daily physical activity for their children. The District will </w:t>
      </w:r>
      <w:sdt>
        <w:sdtPr>
          <w:tag w:val="goog_rdk_2"/>
        </w:sdtPr>
        <w:sdtContent>
          <w:commentRangeStart w:id="2"/>
        </w:sdtContent>
      </w:sdt>
      <w:r w:rsidDel="00000000" w:rsidR="00000000" w:rsidRPr="00000000">
        <w:rPr>
          <w:strike w:val="1"/>
          <w:color w:val="000000"/>
          <w:rtl w:val="0"/>
        </w:rPr>
        <w:t xml:space="preserve">offer healthy eating seminars for parents,</w:t>
      </w:r>
      <w:commentRangeEnd w:id="2"/>
      <w:r w:rsidDel="00000000" w:rsidR="00000000" w:rsidRPr="00000000">
        <w:commentReference w:id="2"/>
      </w:r>
      <w:r w:rsidDel="00000000" w:rsidR="00000000" w:rsidRPr="00000000">
        <w:rPr>
          <w:strike w:val="1"/>
          <w:color w:val="000000"/>
          <w:rtl w:val="0"/>
        </w:rPr>
        <w:t xml:space="preserve"> </w:t>
      </w:r>
      <w:r w:rsidDel="00000000" w:rsidR="00000000" w:rsidRPr="00000000">
        <w:rPr>
          <w:color w:val="000000"/>
          <w:rtl w:val="0"/>
        </w:rPr>
        <w:t xml:space="preserve">send home nutrition information, post nutrition tips on school websites, and provide nutrient analyses of school menus. In addition, the District will provide opportunities for parents to share their healthy food practices with others in the school community.</w:t>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color w:val="000000"/>
          <w:rtl w:val="0"/>
        </w:rPr>
        <w:t xml:space="preserve">The District will support parents’ efforts to provide their children with opportunities to be physically active outside of school. Such support will include sharing information about physical activity and physical education through a website, newsletter, or other take-home materials, special events, or physical education homework.</w:t>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color w:val="000000"/>
          <w:rtl w:val="0"/>
        </w:rPr>
        <w:t xml:space="preserve">Parents are to be advised that their children are participating in a nutrition education or counseling experience, encouraging their support at home. Parent involvement can be in person or through communication sent to the home. Nutrition education will be provided to parents beginning at the elementary level. The goal will be to continue to educate parents throughout the middle and high school levels;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color w:val="000000"/>
          <w:rtl w:val="0"/>
        </w:rPr>
        <w:t xml:space="preserve">Healthy eating and physical activity will be actively promoted to students, parents, teachers, administrators, and the community at registration, PTO</w:t>
      </w:r>
      <w:sdt>
        <w:sdtPr>
          <w:tag w:val="goog_rdk_3"/>
        </w:sdtPr>
        <w:sdtContent>
          <w:commentRangeStart w:id="3"/>
        </w:sdtContent>
      </w:sdt>
      <w:r w:rsidDel="00000000" w:rsidR="00000000" w:rsidRPr="00000000">
        <w:rPr>
          <w:color w:val="000000"/>
          <w:rtl w:val="0"/>
        </w:rPr>
        <w:t xml:space="preserve">/PTA </w:t>
      </w:r>
      <w:commentRangeEnd w:id="3"/>
      <w:r w:rsidDel="00000000" w:rsidR="00000000" w:rsidRPr="00000000">
        <w:commentReference w:id="3"/>
      </w:r>
      <w:r w:rsidDel="00000000" w:rsidR="00000000" w:rsidRPr="00000000">
        <w:rPr>
          <w:color w:val="000000"/>
          <w:rtl w:val="0"/>
        </w:rPr>
        <w:t xml:space="preserve">meetings, open houses, health fairs, teacher in-services, etc.</w:t>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rPr>
          <w:color w:val="000000"/>
        </w:rPr>
      </w:pPr>
      <w:r w:rsidDel="00000000" w:rsidR="00000000" w:rsidRPr="00000000">
        <w:rPr>
          <w:color w:val="000000"/>
          <w:rtl w:val="0"/>
        </w:rPr>
        <w:t xml:space="preserve">Nutrition education from evidence-based sources (such as USDA’s Team Nutrition and My Plate) may be provided in the form of handouts, postings on the District website, or presentations at open houses that focus on nutritional value and healthy lifestyles.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rtl w:val="0"/>
        </w:rPr>
      </w:r>
    </w:p>
    <w:p w:rsidR="00000000" w:rsidDel="00000000" w:rsidP="00000000" w:rsidRDefault="00000000" w:rsidRPr="00000000" w14:paraId="00000019">
      <w:pPr>
        <w:tabs>
          <w:tab w:val="left" w:leader="none" w:pos="2160"/>
          <w:tab w:val="left" w:leader="none" w:pos="4680"/>
        </w:tabs>
        <w:ind w:left="4680" w:hanging="4680"/>
        <w:rPr/>
      </w:pPr>
      <w:r w:rsidDel="00000000" w:rsidR="00000000" w:rsidRPr="00000000">
        <w:rPr>
          <w:rtl w:val="0"/>
        </w:rPr>
        <w:t xml:space="preserve">Legal Reference:</w:t>
        <w:tab/>
        <w:t xml:space="preserve">7 CFR § 210.12 </w:t>
        <w:tab/>
        <w:t xml:space="preserve">Student, Parent, and Community Involvement</w:t>
      </w:r>
    </w:p>
    <w:p w:rsidR="00000000" w:rsidDel="00000000" w:rsidP="00000000" w:rsidRDefault="00000000" w:rsidRPr="00000000" w14:paraId="0000001A">
      <w:pPr>
        <w:tabs>
          <w:tab w:val="left" w:leader="none" w:pos="2160"/>
          <w:tab w:val="left" w:leader="none" w:pos="4680"/>
        </w:tabs>
        <w:ind w:left="4680" w:hanging="4680"/>
        <w:rPr/>
      </w:pPr>
      <w:r w:rsidDel="00000000" w:rsidR="00000000" w:rsidRPr="00000000">
        <w:rPr>
          <w:rtl w:val="0"/>
        </w:rPr>
        <w:tab/>
      </w:r>
      <w:sdt>
        <w:sdtPr>
          <w:tag w:val="goog_rdk_4"/>
        </w:sdtPr>
        <w:sdtContent>
          <w:commentRangeStart w:id="4"/>
        </w:sdtContent>
      </w:sdt>
      <w:r w:rsidDel="00000000" w:rsidR="00000000" w:rsidRPr="00000000">
        <w:rPr>
          <w:rtl w:val="0"/>
        </w:rPr>
        <w:t xml:space="preserve">7 CFR § 210.31</w:t>
        <w:tab/>
        <w:t xml:space="preserve">Public involvement and public notification.</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B">
      <w:pPr>
        <w:rPr>
          <w:u w:val="single"/>
        </w:rPr>
      </w:pPr>
      <w:r w:rsidDel="00000000" w:rsidR="00000000" w:rsidRPr="00000000">
        <w:rPr>
          <w:rtl w:val="0"/>
        </w:rPr>
      </w:r>
    </w:p>
    <w:p w:rsidR="00000000" w:rsidDel="00000000" w:rsidP="00000000" w:rsidRDefault="00000000" w:rsidRPr="00000000" w14:paraId="0000001C">
      <w:pPr>
        <w:rPr>
          <w:u w:val="single"/>
        </w:rPr>
      </w:pPr>
      <w:r w:rsidDel="00000000" w:rsidR="00000000" w:rsidRPr="00000000">
        <w:rPr>
          <w:rtl w:val="0"/>
        </w:rPr>
      </w:r>
    </w:p>
    <w:p w:rsidR="00000000" w:rsidDel="00000000" w:rsidP="00000000" w:rsidRDefault="00000000" w:rsidRPr="00000000" w14:paraId="0000001D">
      <w:pPr>
        <w:rPr>
          <w:u w:val="single"/>
        </w:rPr>
      </w:pPr>
      <w:r w:rsidDel="00000000" w:rsidR="00000000" w:rsidRPr="00000000">
        <w:rPr>
          <w:rtl w:val="0"/>
        </w:rPr>
      </w:r>
    </w:p>
    <w:p w:rsidR="00000000" w:rsidDel="00000000" w:rsidP="00000000" w:rsidRDefault="00000000" w:rsidRPr="00000000" w14:paraId="0000001E">
      <w:pPr>
        <w:rPr>
          <w:u w:val="single"/>
        </w:rPr>
      </w:pPr>
      <w:r w:rsidDel="00000000" w:rsidR="00000000" w:rsidRPr="00000000">
        <w:rPr>
          <w:rtl w:val="0"/>
        </w:rPr>
      </w:r>
    </w:p>
    <w:p w:rsidR="00000000" w:rsidDel="00000000" w:rsidP="00000000" w:rsidRDefault="00000000" w:rsidRPr="00000000" w14:paraId="0000001F">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Adopted on: 12/10/24</w:t>
      </w:r>
    </w:p>
    <w:p w:rsidR="00000000" w:rsidDel="00000000" w:rsidP="00000000" w:rsidRDefault="00000000" w:rsidRPr="00000000" w14:paraId="00000021">
      <w:pPr>
        <w:rPr/>
      </w:pPr>
      <w:r w:rsidDel="00000000" w:rsidR="00000000" w:rsidRPr="00000000">
        <w:rPr>
          <w:rtl w:val="0"/>
        </w:rPr>
        <w:t xml:space="preserve">Revised on: </w:t>
      </w:r>
    </w:p>
    <w:p w:rsidR="00000000" w:rsidDel="00000000" w:rsidP="00000000" w:rsidRDefault="00000000" w:rsidRPr="00000000" w14:paraId="00000022">
      <w:pPr>
        <w:rPr>
          <w:u w:val="single"/>
        </w:rPr>
      </w:pPr>
      <w:r w:rsidDel="00000000" w:rsidR="00000000" w:rsidRPr="00000000">
        <w:rPr>
          <w:rtl w:val="0"/>
        </w:rPr>
        <w:t xml:space="preserve">Reviewed on: 11/5/24, 12/3/24</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eff Blaser" w:id="3" w:date="2024-10-28T14:56:09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w:t>
      </w:r>
    </w:p>
  </w:comment>
  <w:comment w:author="Jeff Blaser" w:id="2" w:date="2024-10-28T16:55:15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for clarity</w:t>
      </w:r>
    </w:p>
  </w:comment>
  <w:comment w:author="Jonathan Waterlander" w:id="0" w:date="2024-10-25T23:34:04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policy necessary?  Policy seems to extend well beyond the legal requirements referenced (7 CFR § 210.12)</w:t>
      </w:r>
    </w:p>
  </w:comment>
  <w:comment w:author="Jeff Blaser" w:id="1" w:date="2024-10-28T14:54:43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Agreed. I added 7 CFR  210.31 at the bottom reference and have recommended taking out verbage that will not support  either the code or our current food service program as we follow legal guidelines.</w:t>
      </w:r>
    </w:p>
  </w:comment>
  <w:comment w:author="Jeff Blaser" w:id="4" w:date="2024-10-28T14:56:28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29" w15:done="0"/>
  <w15:commentEx w15:paraId="0000002A" w15:done="0"/>
  <w15:commentEx w15:paraId="0000002B" w15:done="0"/>
  <w15:commentEx w15:paraId="0000002C" w15:done="0"/>
  <w15:commentEx w15:paraId="0000002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4180-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243B4"/>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val="1"/>
    <w:rsid w:val="006905BC"/>
    <w:pPr>
      <w:keepNext w:val="1"/>
      <w:outlineLvl w:val="0"/>
    </w:pPr>
    <w:rPr>
      <w:bCs w:val="1"/>
      <w:kern w:val="32"/>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Pr>
      <w:rFonts w:ascii="Courier" w:hAnsi="Courier"/>
      <w:b w:val="1"/>
      <w:noProof w:val="0"/>
      <w:color w:val="000000"/>
      <w:sz w:val="20"/>
      <w:u w:val="single"/>
      <w:lang w:val="en-US"/>
    </w:rPr>
  </w:style>
  <w:style w:type="paragraph" w:styleId="6" w:customStyle="1">
    <w:name w:val="6"/>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Pr>
      <w:rFonts w:ascii="Courier" w:hAnsi="Courier"/>
      <w:noProof w:val="0"/>
      <w:color w:val="000000"/>
      <w:sz w:val="20"/>
      <w:lang w:val="en-US"/>
    </w:rPr>
  </w:style>
  <w:style w:type="character" w:styleId="TechInit" w:customStyle="1">
    <w:name w:val="Tech Init"/>
    <w:rPr>
      <w:rFonts w:ascii="Courier" w:hAnsi="Courier"/>
      <w:noProof w:val="0"/>
      <w:color w:val="000000"/>
      <w:sz w:val="20"/>
      <w:lang w:val="en-US"/>
    </w:rPr>
  </w:style>
  <w:style w:type="character" w:styleId="Pleading" w:customStyle="1">
    <w:name w:val="Pleading"/>
    <w:rPr>
      <w:rFonts w:ascii="Courier" w:hAnsi="Courier"/>
      <w:noProof w:val="0"/>
      <w:color w:val="000000"/>
      <w:sz w:val="20"/>
      <w:lang w:val="en-US"/>
    </w:rPr>
  </w:style>
  <w:style w:type="paragraph" w:styleId="Header">
    <w:name w:val="header"/>
    <w:basedOn w:val="Normal"/>
    <w:rsid w:val="00E92F20"/>
    <w:pPr>
      <w:tabs>
        <w:tab w:val="center" w:pos="4320"/>
        <w:tab w:val="right" w:pos="8640"/>
      </w:tabs>
    </w:pPr>
  </w:style>
  <w:style w:type="paragraph" w:styleId="Footer">
    <w:name w:val="footer"/>
    <w:basedOn w:val="Normal"/>
    <w:link w:val="FooterChar"/>
    <w:rsid w:val="00E92F20"/>
    <w:pPr>
      <w:tabs>
        <w:tab w:val="center" w:pos="4320"/>
        <w:tab w:val="right" w:pos="8640"/>
      </w:tabs>
    </w:pPr>
  </w:style>
  <w:style w:type="character" w:styleId="PageNumber">
    <w:name w:val="page number"/>
    <w:basedOn w:val="DefaultParagraphFont"/>
    <w:rsid w:val="00E92F20"/>
  </w:style>
  <w:style w:type="character" w:styleId="Heading1Char" w:customStyle="1">
    <w:name w:val="Heading 1 Char"/>
    <w:link w:val="Heading1"/>
    <w:uiPriority w:val="9"/>
    <w:rsid w:val="006905BC"/>
    <w:rPr>
      <w:rFonts w:cs="Times New Roman" w:eastAsia="Times New Roman"/>
      <w:bCs w:val="1"/>
      <w:kern w:val="32"/>
      <w:sz w:val="24"/>
      <w:szCs w:val="32"/>
      <w:u w:val="single"/>
    </w:rPr>
  </w:style>
  <w:style w:type="table" w:styleId="TableGrid">
    <w:name w:val="Table Grid"/>
    <w:basedOn w:val="TableNormal"/>
    <w:uiPriority w:val="59"/>
    <w:rsid w:val="006E1AB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D4E9D"/>
    <w:pPr>
      <w:ind w:left="720"/>
      <w:contextualSpacing w:val="1"/>
    </w:pPr>
  </w:style>
  <w:style w:type="paragraph" w:styleId="Subtitle">
    <w:name w:val="Subtitle"/>
    <w:basedOn w:val="Normal"/>
    <w:next w:val="Normal"/>
    <w:link w:val="SubtitleChar"/>
    <w:uiPriority w:val="11"/>
    <w:qFormat w:val="1"/>
    <w:rsid w:val="00953B82"/>
    <w:pPr>
      <w:numPr>
        <w:ilvl w:val="1"/>
      </w:numPr>
    </w:pPr>
    <w:rPr>
      <w:rFonts w:cstheme="minorBidi" w:eastAsiaTheme="minorEastAsia"/>
      <w:spacing w:val="15"/>
      <w:szCs w:val="22"/>
      <w:u w:val="single"/>
    </w:rPr>
  </w:style>
  <w:style w:type="character" w:styleId="SubtitleChar" w:customStyle="1">
    <w:name w:val="Subtitle Char"/>
    <w:basedOn w:val="DefaultParagraphFont"/>
    <w:link w:val="Subtitle"/>
    <w:uiPriority w:val="11"/>
    <w:rsid w:val="00953B82"/>
    <w:rPr>
      <w:rFonts w:cstheme="minorBidi" w:eastAsiaTheme="minorEastAsia"/>
      <w:spacing w:val="15"/>
      <w:sz w:val="24"/>
      <w:szCs w:val="22"/>
      <w:u w:val="single"/>
    </w:rPr>
  </w:style>
  <w:style w:type="paragraph" w:styleId="Revision">
    <w:name w:val="Revision"/>
    <w:hidden w:val="1"/>
    <w:uiPriority w:val="99"/>
    <w:semiHidden w:val="1"/>
    <w:rsid w:val="006778ED"/>
    <w:rPr>
      <w:sz w:val="24"/>
    </w:rPr>
  </w:style>
  <w:style w:type="character" w:styleId="CommentReference">
    <w:name w:val="annotation reference"/>
    <w:basedOn w:val="DefaultParagraphFont"/>
    <w:uiPriority w:val="99"/>
    <w:semiHidden w:val="1"/>
    <w:unhideWhenUsed w:val="1"/>
    <w:rsid w:val="00C257EF"/>
    <w:rPr>
      <w:sz w:val="16"/>
      <w:szCs w:val="16"/>
    </w:rPr>
  </w:style>
  <w:style w:type="paragraph" w:styleId="CommentText">
    <w:name w:val="annotation text"/>
    <w:basedOn w:val="Normal"/>
    <w:link w:val="CommentTextChar"/>
    <w:uiPriority w:val="99"/>
    <w:semiHidden w:val="1"/>
    <w:unhideWhenUsed w:val="1"/>
    <w:rsid w:val="00C257EF"/>
    <w:rPr>
      <w:sz w:val="20"/>
    </w:rPr>
  </w:style>
  <w:style w:type="character" w:styleId="CommentTextChar" w:customStyle="1">
    <w:name w:val="Comment Text Char"/>
    <w:basedOn w:val="DefaultParagraphFont"/>
    <w:link w:val="CommentText"/>
    <w:uiPriority w:val="99"/>
    <w:semiHidden w:val="1"/>
    <w:rsid w:val="00C257EF"/>
  </w:style>
  <w:style w:type="paragraph" w:styleId="CommentSubject">
    <w:name w:val="annotation subject"/>
    <w:basedOn w:val="CommentText"/>
    <w:next w:val="CommentText"/>
    <w:link w:val="CommentSubjectChar"/>
    <w:uiPriority w:val="99"/>
    <w:semiHidden w:val="1"/>
    <w:unhideWhenUsed w:val="1"/>
    <w:rsid w:val="00C257EF"/>
    <w:rPr>
      <w:b w:val="1"/>
      <w:bCs w:val="1"/>
    </w:rPr>
  </w:style>
  <w:style w:type="character" w:styleId="CommentSubjectChar" w:customStyle="1">
    <w:name w:val="Comment Subject Char"/>
    <w:basedOn w:val="CommentTextChar"/>
    <w:link w:val="CommentSubject"/>
    <w:uiPriority w:val="99"/>
    <w:semiHidden w:val="1"/>
    <w:rsid w:val="00C257EF"/>
    <w:rPr>
      <w:b w:val="1"/>
      <w:bCs w:val="1"/>
    </w:rPr>
  </w:style>
  <w:style w:type="character" w:styleId="FooterChar" w:customStyle="1">
    <w:name w:val="Footer Char"/>
    <w:basedOn w:val="DefaultParagraphFont"/>
    <w:link w:val="Footer"/>
    <w:rsid w:val="005D2B6E"/>
    <w:rPr>
      <w:sz w:val="24"/>
    </w:rPr>
  </w:style>
  <w:style w:type="paragraph" w:styleId="Subtitle">
    <w:name w:val="Subtitle"/>
    <w:basedOn w:val="Normal"/>
    <w:next w:val="Normal"/>
    <w:pPr/>
    <w:rPr>
      <w:u w:val="single"/>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DQj1i58EyMlJIvzZ59kF6RA5xA==">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2020-06-24T16:23:00Z</dcterms:created>
  <dc:creator>Quinn Perry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-1769209090</vt:lpwstr>
  </property>
  <property fmtid="{D5CDD505-2E9C-101B-9397-08002B2CF9AE}" pid="3" name="_EmailSubject">
    <vt:lpwstr>4000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229800</vt:lpwstr>
  </property>
</Properties>
</file>