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4230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Use of School Property for Posting Notices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Non-school related organizations may ask the building principal permission 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Display posters in the area reserved for community posters;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flyers distributed to students.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Posters and/or flyers subject to a request must be student oriented and have the sponsoring organization’s name prominently displayed. Permission will be denied to post or distribute any material that would: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Disrupt the educational process;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Violate the rights of others;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Invade the privacy of others;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Infringe on a copyright; or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 obscene, vulgar, or indecent.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 commercial publication shall be posted or distributed unless the purpose is to further a school activity such as graduation, class pictures, or class rings. No information from any candidates for non-student elective offices shall be posted in the school, except on election-day, or distributed to the students.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permission is granted to distribute, the organization must arrange to have copies delivered to the school. Distribution of the material will be arranged by the administration.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160"/>
        </w:tabs>
        <w:ind w:left="3600" w:hanging="3600"/>
        <w:rPr/>
      </w:pPr>
      <w:r w:rsidDel="00000000" w:rsidR="00000000" w:rsidRPr="00000000">
        <w:rPr>
          <w:rtl w:val="0"/>
        </w:rPr>
        <w:t xml:space="preserve">Cross Reference: </w:t>
        <w:tab/>
        <w:t xml:space="preserve">3250</w:t>
        <w:tab/>
        <w:t xml:space="preserve">Distribution and Posting of Materials</w:t>
      </w:r>
    </w:p>
    <w:p w:rsidR="00000000" w:rsidDel="00000000" w:rsidP="00000000" w:rsidRDefault="00000000" w:rsidRPr="00000000" w14:paraId="0000001A">
      <w:pPr>
        <w:tabs>
          <w:tab w:val="left" w:leader="none" w:pos="2160"/>
          <w:tab w:val="left" w:leader="none" w:pos="468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4230-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800" w:hanging="72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72F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8557B"/>
    <w:pPr>
      <w:keepNext w:val="1"/>
      <w:outlineLvl w:val="0"/>
    </w:pPr>
    <w:rPr>
      <w:rFonts w:ascii="Times Roman" w:hAnsi="Times Roman"/>
      <w:bCs w:val="1"/>
      <w:kern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WPDefaults0" w:customStyle="1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1" w:customStyle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2" w:customStyle="1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i w:val="1"/>
      <w:color w:val="000000"/>
    </w:rPr>
  </w:style>
  <w:style w:type="paragraph" w:styleId="3" w:customStyle="1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4" w:customStyle="1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styleId="5" w:customStyle="1">
    <w:name w:val="5"/>
    <w:rPr>
      <w:rFonts w:ascii="Courier" w:hAnsi="Courier"/>
      <w:b w:val="1"/>
      <w:noProof w:val="0"/>
      <w:color w:val="000000"/>
      <w:sz w:val="20"/>
      <w:u w:val="single"/>
      <w:lang w:val="en-US"/>
    </w:rPr>
  </w:style>
  <w:style w:type="paragraph" w:styleId="6" w:customStyle="1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RightPar1" w:customStyle="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RightPar2" w:customStyle="1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7" w:customStyle="1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RightPar3" w:customStyle="1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styleId="RightPar4" w:customStyle="1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styleId="RightPar5" w:customStyle="1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styleId="RightPar6" w:customStyle="1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styleId="RightPar7" w:customStyle="1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styleId="RightPar8" w:customStyle="1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8" w:customStyle="1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 w:val="1"/>
      <w:color w:val="000000"/>
    </w:rPr>
  </w:style>
  <w:style w:type="paragraph" w:styleId="9" w:customStyle="1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0" w:customStyle="1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1" w:customStyle="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  <w:u w:val="single"/>
    </w:rPr>
  </w:style>
  <w:style w:type="paragraph" w:styleId="12" w:customStyle="1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3" w:customStyle="1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4" w:customStyle="1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5" w:customStyle="1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6" w:customStyle="1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Bibliogrphy" w:customStyle="1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styleId="DocInit" w:customStyle="1">
    <w:name w:val="Doc Init"/>
    <w:rPr>
      <w:rFonts w:ascii="Courier" w:hAnsi="Courier"/>
      <w:noProof w:val="0"/>
      <w:color w:val="000000"/>
      <w:sz w:val="20"/>
      <w:lang w:val="en-US"/>
    </w:rPr>
  </w:style>
  <w:style w:type="character" w:styleId="TechInit" w:customStyle="1">
    <w:name w:val="Tech Init"/>
    <w:rPr>
      <w:rFonts w:ascii="Courier" w:hAnsi="Courier"/>
      <w:noProof w:val="0"/>
      <w:color w:val="000000"/>
      <w:sz w:val="20"/>
      <w:lang w:val="en-US"/>
    </w:rPr>
  </w:style>
  <w:style w:type="character" w:styleId="Pleading" w:customStyle="1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Outline1" w:customStyle="1">
    <w:name w:val="Outline 1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Outline2" w:customStyle="1">
    <w:name w:val="Outline 2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702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2B6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 w:val="1"/>
    <w:unhideWhenUsed w:val="1"/>
    <w:rsid w:val="007C3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C3CD2"/>
    <w:pPr>
      <w:widowControl w:val="0"/>
      <w:overflowPunct w:val="1"/>
      <w:autoSpaceDE w:val="1"/>
      <w:autoSpaceDN w:val="1"/>
      <w:adjustRightInd w:val="1"/>
      <w:textAlignment w:val="auto"/>
    </w:pPr>
    <w:rPr>
      <w:rFonts w:ascii="Calibri" w:eastAsia="Calibri" w:hAnsi="Calibri"/>
    </w:rPr>
  </w:style>
  <w:style w:type="character" w:styleId="CommentTextChar" w:customStyle="1">
    <w:name w:val="Comment Text Char"/>
    <w:link w:val="CommentText"/>
    <w:uiPriority w:val="99"/>
    <w:semiHidden w:val="1"/>
    <w:rsid w:val="007C3CD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C3CD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7C3CD2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28557B"/>
    <w:rPr>
      <w:rFonts w:ascii="Times Roman" w:cs="Times New Roman" w:eastAsia="Times New Roman" w:hAnsi="Times Roman"/>
      <w:bCs w:val="1"/>
      <w:kern w:val="32"/>
      <w:sz w:val="24"/>
      <w:szCs w:val="32"/>
      <w:u w:val="single"/>
    </w:rPr>
  </w:style>
  <w:style w:type="character" w:styleId="FooterChar" w:customStyle="1">
    <w:name w:val="Footer Char"/>
    <w:link w:val="Footer"/>
    <w:rsid w:val="002E560A"/>
    <w:rPr>
      <w:sz w:val="24"/>
    </w:rPr>
  </w:style>
  <w:style w:type="character" w:styleId="PageNumber">
    <w:name w:val="page number"/>
    <w:basedOn w:val="DefaultParagraphFont"/>
    <w:rsid w:val="002E560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WRXFsoIVtPqdcYAXGHGbU542g==">CgMxLjA4AHIhMXhfQW5oZWh5Vm5HczhuZ0llcTdqTndoV0RzaDkyWFVN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2022-08-03T18:35:00Z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-1449119734</vt:lpwstr>
  </property>
  <property fmtid="{D5CDD505-2E9C-101B-9397-08002B2CF9AE}" pid="3" name="_EmailSubject">
    <vt:lpwstr>4000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>_ReviewingToolsShownOnce</vt:lpwstr>
  </property>
  <property fmtid="{D5CDD505-2E9C-101B-9397-08002B2CF9AE}" pid="7" name="ContentTypeId">
    <vt:lpwstr>0x010100DB2E10D320058847A74C494CB29EAA9F</vt:lpwstr>
  </property>
  <property fmtid="{D5CDD505-2E9C-101B-9397-08002B2CF9AE}" pid="8" name="Order">
    <vt:lpwstr>231400</vt:lpwstr>
  </property>
</Properties>
</file>