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Bruneau-Grand View Joint School District #365</w:t>
      </w:r>
    </w:p>
    <w:p w:rsidR="00000000" w:rsidDel="00000000" w:rsidP="00000000" w:rsidRDefault="00000000" w:rsidRPr="00000000" w14:paraId="00000002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60"/>
        </w:tabs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COMMUNITY RELATIONS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color w:val="000000"/>
          <w:rtl w:val="0"/>
        </w:rPr>
        <w:t xml:space="preserve">4330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Spectator Conduct and Sportsmanship for Athletic and Co-Curricular Events</w:t>
      </w:r>
    </w:p>
    <w:p w:rsidR="00000000" w:rsidDel="00000000" w:rsidP="00000000" w:rsidRDefault="00000000" w:rsidRPr="00000000" w14:paraId="00000006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000000"/>
          <w:highlight w:val="green"/>
        </w:rPr>
      </w:pPr>
      <w:r w:rsidDel="00000000" w:rsidR="00000000" w:rsidRPr="00000000">
        <w:rPr>
          <w:color w:val="000000"/>
          <w:rtl w:val="0"/>
        </w:rPr>
        <w:t xml:space="preserve">Any person, including an adult, who behaves in an unsportsmanlike manner during an athletic or co-curricular event may be ejected from the event the person is attending and/or denied admission to school events for up to a year.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000000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Superintendent may recommend to the Board that any person be denied future admission for up to one year. The Board shall vote on whether to deny such admission at a meeting of the Board.</w:t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Examples of unsportsmanlike conduct include, but most certainly are not limited to:</w:t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vulgar or obscene language or gestures;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Possessing or being under the influence of any alcoholic beverage or illegal substance;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Possessing a weapon;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Fighting or otherwise striking or threatening another person;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Failing to obey the instructions of a security officer or School District employee; and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Engaging in any activity which is illegal or disruptive of the educational process.</w:t>
      </w:r>
    </w:p>
    <w:p w:rsidR="00000000" w:rsidDel="00000000" w:rsidP="00000000" w:rsidRDefault="00000000" w:rsidRPr="00000000" w14:paraId="0000001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160"/>
        </w:tabs>
        <w:ind w:left="4320" w:hanging="43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Legal References:</w:t>
        <w:tab/>
        <w:t xml:space="preserve">IC § 18-916</w:t>
        <w:tab/>
        <w:t xml:space="preserve">Abuse of School Teachers</w:t>
      </w:r>
    </w:p>
    <w:p w:rsidR="00000000" w:rsidDel="00000000" w:rsidP="00000000" w:rsidRDefault="00000000" w:rsidRPr="00000000" w14:paraId="00000016">
      <w:pPr>
        <w:tabs>
          <w:tab w:val="left" w:leader="none" w:pos="2160"/>
        </w:tabs>
        <w:ind w:left="4320" w:hanging="4320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IC § 18-6409</w:t>
        <w:tab/>
        <w:t xml:space="preserve">Disturbing the Peace</w:t>
      </w:r>
    </w:p>
    <w:p w:rsidR="00000000" w:rsidDel="00000000" w:rsidP="00000000" w:rsidRDefault="00000000" w:rsidRPr="00000000" w14:paraId="00000017">
      <w:pPr>
        <w:tabs>
          <w:tab w:val="left" w:leader="none" w:pos="2160"/>
        </w:tabs>
        <w:ind w:left="4320" w:hanging="4320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IC § 33-205</w:t>
        <w:tab/>
        <w:t xml:space="preserve">Denial of School Attendance </w:t>
      </w:r>
    </w:p>
    <w:p w:rsidR="00000000" w:rsidDel="00000000" w:rsidP="00000000" w:rsidRDefault="00000000" w:rsidRPr="00000000" w14:paraId="00000018">
      <w:pPr>
        <w:tabs>
          <w:tab w:val="left" w:leader="none" w:pos="2160"/>
        </w:tabs>
        <w:ind w:left="4320" w:hanging="4320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IC § 33-512</w:t>
        <w:tab/>
        <w:t xml:space="preserve">Governance of Schools</w:t>
      </w:r>
    </w:p>
    <w:p w:rsidR="00000000" w:rsidDel="00000000" w:rsidP="00000000" w:rsidRDefault="00000000" w:rsidRPr="00000000" w14:paraId="00000019">
      <w:pPr>
        <w:tabs>
          <w:tab w:val="left" w:leader="none" w:pos="2160"/>
        </w:tabs>
        <w:ind w:left="4320" w:hanging="4320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IC § 33-1222</w:t>
        <w:tab/>
        <w:t xml:space="preserve">Freedom of Abuse</w:t>
      </w:r>
    </w:p>
    <w:p w:rsidR="00000000" w:rsidDel="00000000" w:rsidP="00000000" w:rsidRDefault="00000000" w:rsidRPr="00000000" w14:paraId="0000001A">
      <w:pPr>
        <w:tabs>
          <w:tab w:val="left" w:leader="none" w:pos="2160"/>
        </w:tabs>
        <w:ind w:left="4320" w:hanging="4320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u w:val="single"/>
          <w:rtl w:val="0"/>
        </w:rPr>
        <w:t xml:space="preserve">Policy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Adopted on: 12/10/24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Revised on: </w:t>
      </w:r>
    </w:p>
    <w:p w:rsidR="00000000" w:rsidDel="00000000" w:rsidP="00000000" w:rsidRDefault="00000000" w:rsidRPr="00000000" w14:paraId="0000001E">
      <w:pPr>
        <w:rPr>
          <w:u w:val="single"/>
        </w:rPr>
      </w:pPr>
      <w:r w:rsidDel="00000000" w:rsidR="00000000" w:rsidRPr="00000000">
        <w:rPr>
          <w:rtl w:val="0"/>
        </w:rPr>
        <w:t xml:space="preserve">Reviewed on: 11/5/24, 12/3/24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4330-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797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BD61D9"/>
    <w:pPr>
      <w:keepNext w:val="1"/>
      <w:outlineLvl w:val="0"/>
    </w:pPr>
    <w:rPr>
      <w:rFonts w:ascii="Times Roman" w:hAnsi="Times Roman"/>
      <w:bCs w:val="1"/>
      <w:kern w:val="32"/>
      <w:szCs w:val="32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WPDefaults" w:customStyle="1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styleId="WPDefaults0" w:customStyle="1">
    <w:name w:val="WP Defaults*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styleId="1" w:customStyle="1">
    <w:name w:val="1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styleId="2" w:customStyle="1">
    <w:name w:val="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i w:val="1"/>
      <w:color w:val="000000"/>
    </w:rPr>
  </w:style>
  <w:style w:type="paragraph" w:styleId="3" w:customStyle="1">
    <w:name w:val="3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styleId="4" w:customStyle="1">
    <w:name w:val="4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character" w:styleId="5" w:customStyle="1">
    <w:name w:val="5"/>
    <w:rPr>
      <w:rFonts w:ascii="Courier" w:hAnsi="Courier"/>
      <w:b w:val="1"/>
      <w:noProof w:val="0"/>
      <w:color w:val="000000"/>
      <w:sz w:val="20"/>
      <w:u w:val="single"/>
      <w:lang w:val="en-US"/>
    </w:rPr>
  </w:style>
  <w:style w:type="paragraph" w:styleId="6" w:customStyle="1">
    <w:name w:val="6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styleId="RightPar1" w:customStyle="1">
    <w:name w:val="Right Par[1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styleId="RightPar2" w:customStyle="1">
    <w:name w:val="Right Par[2]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styleId="7" w:customStyle="1">
    <w:name w:val="7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RightPar3" w:customStyle="1">
    <w:name w:val="Right Par[3]"/>
    <w:pPr>
      <w:overflowPunct w:val="0"/>
      <w:autoSpaceDE w:val="0"/>
      <w:autoSpaceDN w:val="0"/>
      <w:adjustRightInd w:val="0"/>
      <w:spacing w:line="240" w:lineRule="atLeast"/>
      <w:ind w:left="2160"/>
      <w:textAlignment w:val="baseline"/>
    </w:pPr>
    <w:rPr>
      <w:rFonts w:ascii="Courier" w:hAnsi="Courier"/>
      <w:color w:val="000000"/>
    </w:rPr>
  </w:style>
  <w:style w:type="paragraph" w:styleId="RightPar4" w:customStyle="1">
    <w:name w:val="Right Par[4]"/>
    <w:pPr>
      <w:overflowPunct w:val="0"/>
      <w:autoSpaceDE w:val="0"/>
      <w:autoSpaceDN w:val="0"/>
      <w:adjustRightInd w:val="0"/>
      <w:spacing w:line="240" w:lineRule="atLeast"/>
      <w:ind w:left="2880"/>
      <w:textAlignment w:val="baseline"/>
    </w:pPr>
    <w:rPr>
      <w:rFonts w:ascii="Courier" w:hAnsi="Courier"/>
      <w:color w:val="000000"/>
    </w:rPr>
  </w:style>
  <w:style w:type="paragraph" w:styleId="RightPar5" w:customStyle="1">
    <w:name w:val="Right Par[5]"/>
    <w:pPr>
      <w:overflowPunct w:val="0"/>
      <w:autoSpaceDE w:val="0"/>
      <w:autoSpaceDN w:val="0"/>
      <w:adjustRightInd w:val="0"/>
      <w:spacing w:line="240" w:lineRule="atLeast"/>
      <w:ind w:left="3600"/>
      <w:textAlignment w:val="baseline"/>
    </w:pPr>
    <w:rPr>
      <w:rFonts w:ascii="Courier" w:hAnsi="Courier"/>
      <w:color w:val="000000"/>
    </w:rPr>
  </w:style>
  <w:style w:type="paragraph" w:styleId="RightPar6" w:customStyle="1">
    <w:name w:val="Right Par[6]"/>
    <w:pPr>
      <w:overflowPunct w:val="0"/>
      <w:autoSpaceDE w:val="0"/>
      <w:autoSpaceDN w:val="0"/>
      <w:adjustRightInd w:val="0"/>
      <w:spacing w:line="240" w:lineRule="atLeast"/>
      <w:ind w:left="4320"/>
      <w:textAlignment w:val="baseline"/>
    </w:pPr>
    <w:rPr>
      <w:rFonts w:ascii="Courier" w:hAnsi="Courier"/>
      <w:color w:val="000000"/>
    </w:rPr>
  </w:style>
  <w:style w:type="paragraph" w:styleId="RightPar7" w:customStyle="1">
    <w:name w:val="Right Par[7]"/>
    <w:pPr>
      <w:overflowPunct w:val="0"/>
      <w:autoSpaceDE w:val="0"/>
      <w:autoSpaceDN w:val="0"/>
      <w:adjustRightInd w:val="0"/>
      <w:spacing w:line="240" w:lineRule="atLeast"/>
      <w:ind w:left="5040"/>
      <w:textAlignment w:val="baseline"/>
    </w:pPr>
    <w:rPr>
      <w:rFonts w:ascii="Courier" w:hAnsi="Courier"/>
      <w:color w:val="000000"/>
    </w:rPr>
  </w:style>
  <w:style w:type="paragraph" w:styleId="RightPar8" w:customStyle="1">
    <w:name w:val="Right Par[8]"/>
    <w:pPr>
      <w:overflowPunct w:val="0"/>
      <w:autoSpaceDE w:val="0"/>
      <w:autoSpaceDN w:val="0"/>
      <w:adjustRightInd w:val="0"/>
      <w:spacing w:line="240" w:lineRule="atLeast"/>
      <w:ind w:left="5760"/>
      <w:textAlignment w:val="baseline"/>
    </w:pPr>
    <w:rPr>
      <w:rFonts w:ascii="Courier" w:hAnsi="Courier"/>
      <w:color w:val="000000"/>
    </w:rPr>
  </w:style>
  <w:style w:type="paragraph" w:styleId="8" w:customStyle="1">
    <w:name w:val="8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Courier" w:hAnsi="Courier"/>
      <w:b w:val="1"/>
      <w:color w:val="000000"/>
    </w:rPr>
  </w:style>
  <w:style w:type="paragraph" w:styleId="9" w:customStyle="1">
    <w:name w:val="9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10" w:customStyle="1">
    <w:name w:val="1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11" w:customStyle="1">
    <w:name w:val="11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  <w:u w:val="single"/>
    </w:rPr>
  </w:style>
  <w:style w:type="paragraph" w:styleId="12" w:customStyle="1">
    <w:name w:val="1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13" w:customStyle="1">
    <w:name w:val="13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14" w:customStyle="1">
    <w:name w:val="14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15" w:customStyle="1">
    <w:name w:val="1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16" w:customStyle="1">
    <w:name w:val="16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Bibliogrphy" w:customStyle="1">
    <w:name w:val="Bibliogrphy"/>
    <w:pPr>
      <w:overflowPunct w:val="0"/>
      <w:autoSpaceDE w:val="0"/>
      <w:autoSpaceDN w:val="0"/>
      <w:adjustRightInd w:val="0"/>
      <w:spacing w:line="240" w:lineRule="atLeast"/>
      <w:ind w:left="720" w:hanging="720"/>
      <w:textAlignment w:val="baseline"/>
    </w:pPr>
    <w:rPr>
      <w:rFonts w:ascii="Courier" w:hAnsi="Courier"/>
      <w:color w:val="000000"/>
    </w:rPr>
  </w:style>
  <w:style w:type="character" w:styleId="DocInit" w:customStyle="1">
    <w:name w:val="Doc Init"/>
    <w:rPr>
      <w:rFonts w:ascii="Courier" w:hAnsi="Courier"/>
      <w:noProof w:val="0"/>
      <w:color w:val="000000"/>
      <w:sz w:val="20"/>
      <w:lang w:val="en-US"/>
    </w:rPr>
  </w:style>
  <w:style w:type="character" w:styleId="TechInit" w:customStyle="1">
    <w:name w:val="Tech Init"/>
    <w:rPr>
      <w:rFonts w:ascii="Courier" w:hAnsi="Courier"/>
      <w:noProof w:val="0"/>
      <w:color w:val="000000"/>
      <w:sz w:val="20"/>
      <w:lang w:val="en-US"/>
    </w:rPr>
  </w:style>
  <w:style w:type="character" w:styleId="Pleading" w:customStyle="1">
    <w:name w:val="Pleading"/>
    <w:rPr>
      <w:rFonts w:ascii="Courier" w:hAnsi="Courier"/>
      <w:noProof w:val="0"/>
      <w:color w:val="000000"/>
      <w:sz w:val="20"/>
      <w:lang w:val="en-US"/>
    </w:rPr>
  </w:style>
  <w:style w:type="paragraph" w:styleId="Outline1" w:customStyle="1">
    <w:name w:val="Outline 1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styleId="Outline2" w:customStyle="1">
    <w:name w:val="Outline 2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styleId="Outline3" w:customStyle="1">
    <w:name w:val="Outline 3"/>
    <w:pPr>
      <w:overflowPunct w:val="0"/>
      <w:autoSpaceDE w:val="0"/>
      <w:autoSpaceDN w:val="0"/>
      <w:adjustRightInd w:val="0"/>
      <w:spacing w:line="240" w:lineRule="atLeast"/>
      <w:ind w:left="2160"/>
      <w:textAlignment w:val="baseline"/>
    </w:pPr>
    <w:rPr>
      <w:rFonts w:ascii="Courier" w:hAnsi="Courier"/>
      <w:color w:val="000000"/>
    </w:rPr>
  </w:style>
  <w:style w:type="paragraph" w:styleId="Outline4" w:customStyle="1">
    <w:name w:val="Outline 4"/>
    <w:pPr>
      <w:overflowPunct w:val="0"/>
      <w:autoSpaceDE w:val="0"/>
      <w:autoSpaceDN w:val="0"/>
      <w:adjustRightInd w:val="0"/>
      <w:spacing w:line="240" w:lineRule="atLeast"/>
      <w:ind w:left="2880"/>
      <w:textAlignment w:val="baseline"/>
    </w:pPr>
    <w:rPr>
      <w:rFonts w:ascii="Courier" w:hAnsi="Courier"/>
      <w:color w:val="000000"/>
    </w:rPr>
  </w:style>
  <w:style w:type="paragraph" w:styleId="Outline5" w:customStyle="1">
    <w:name w:val="Outline 5"/>
    <w:pPr>
      <w:overflowPunct w:val="0"/>
      <w:autoSpaceDE w:val="0"/>
      <w:autoSpaceDN w:val="0"/>
      <w:adjustRightInd w:val="0"/>
      <w:spacing w:line="240" w:lineRule="atLeast"/>
      <w:ind w:left="3600"/>
      <w:textAlignment w:val="baseline"/>
    </w:pPr>
    <w:rPr>
      <w:rFonts w:ascii="Courier" w:hAnsi="Courier"/>
      <w:color w:val="000000"/>
    </w:rPr>
  </w:style>
  <w:style w:type="paragraph" w:styleId="Outline6" w:customStyle="1">
    <w:name w:val="Outline 6"/>
    <w:pPr>
      <w:overflowPunct w:val="0"/>
      <w:autoSpaceDE w:val="0"/>
      <w:autoSpaceDN w:val="0"/>
      <w:adjustRightInd w:val="0"/>
      <w:spacing w:line="240" w:lineRule="atLeast"/>
      <w:ind w:left="4320"/>
      <w:textAlignment w:val="baseline"/>
    </w:pPr>
    <w:rPr>
      <w:rFonts w:ascii="Courier" w:hAnsi="Courier"/>
      <w:color w:val="000000"/>
    </w:rPr>
  </w:style>
  <w:style w:type="paragraph" w:styleId="Outline7" w:customStyle="1">
    <w:name w:val="Outline 7"/>
    <w:pPr>
      <w:overflowPunct w:val="0"/>
      <w:autoSpaceDE w:val="0"/>
      <w:autoSpaceDN w:val="0"/>
      <w:adjustRightInd w:val="0"/>
      <w:spacing w:line="240" w:lineRule="atLeast"/>
      <w:ind w:left="5040"/>
      <w:textAlignment w:val="baseline"/>
    </w:pPr>
    <w:rPr>
      <w:rFonts w:ascii="Courier" w:hAnsi="Courier"/>
      <w:color w:val="000000"/>
    </w:rPr>
  </w:style>
  <w:style w:type="paragraph" w:styleId="Outline8" w:customStyle="1">
    <w:name w:val="Outline 8"/>
    <w:pPr>
      <w:overflowPunct w:val="0"/>
      <w:autoSpaceDE w:val="0"/>
      <w:autoSpaceDN w:val="0"/>
      <w:adjustRightInd w:val="0"/>
      <w:spacing w:line="240" w:lineRule="atLeast"/>
      <w:ind w:left="5760"/>
      <w:textAlignment w:val="baseline"/>
    </w:pPr>
    <w:rPr>
      <w:rFonts w:ascii="Courier" w:hAnsi="Courier"/>
      <w:color w:val="000000"/>
    </w:rPr>
  </w:style>
  <w:style w:type="paragraph" w:styleId="Header">
    <w:name w:val="header"/>
    <w:basedOn w:val="Normal"/>
    <w:rsid w:val="00A41A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A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1AD3"/>
  </w:style>
  <w:style w:type="character" w:styleId="Heading1Char" w:customStyle="1">
    <w:name w:val="Heading 1 Char"/>
    <w:link w:val="Heading1"/>
    <w:uiPriority w:val="9"/>
    <w:rsid w:val="00BD61D9"/>
    <w:rPr>
      <w:rFonts w:ascii="Times Roman" w:cs="Times New Roman" w:eastAsia="Times New Roman" w:hAnsi="Times Roman"/>
      <w:bCs w:val="1"/>
      <w:kern w:val="32"/>
      <w:sz w:val="24"/>
      <w:szCs w:val="32"/>
      <w:u w:val="single"/>
    </w:rPr>
  </w:style>
  <w:style w:type="paragraph" w:styleId="Revision">
    <w:name w:val="Revision"/>
    <w:hidden w:val="1"/>
    <w:uiPriority w:val="99"/>
    <w:semiHidden w:val="1"/>
    <w:rsid w:val="00150EB7"/>
    <w:rPr>
      <w:sz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33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9335CD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335CD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335CD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335C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PjeypcMfFjMLlb8Z/uaFFtzQZg==">CgMxLjA4AHIhMWdqT0pIazcwbGMySU5qeDFzMER6eFdBQjY5WEtwdUdG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2022-08-03T18:42:00Z</dcterms:created>
  <dc:creator>April Hoy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96618494</vt:lpwstr>
  </property>
  <property fmtid="{D5CDD505-2E9C-101B-9397-08002B2CF9AE}" pid="3" name="_EmailSubject">
    <vt:lpwstr>4000 Series</vt:lpwstr>
  </property>
  <property fmtid="{D5CDD505-2E9C-101B-9397-08002B2CF9AE}" pid="4" name="_AuthorEmail">
    <vt:lpwstr>dsilk@mtsba.org</vt:lpwstr>
  </property>
  <property fmtid="{D5CDD505-2E9C-101B-9397-08002B2CF9AE}" pid="5" name="_AuthorEmailDisplayName">
    <vt:lpwstr>Debra Silk</vt:lpwstr>
  </property>
  <property fmtid="{D5CDD505-2E9C-101B-9397-08002B2CF9AE}" pid="6" name="_ReviewingToolsShownOnce">
    <vt:lpwstr>_ReviewingToolsShownOnce</vt:lpwstr>
  </property>
  <property fmtid="{D5CDD505-2E9C-101B-9397-08002B2CF9AE}" pid="7" name="ContentTypeId">
    <vt:lpwstr>0x010100DB2E10D320058847A74C494CB29EAA9F</vt:lpwstr>
  </property>
  <property fmtid="{D5CDD505-2E9C-101B-9397-08002B2CF9AE}" pid="8" name="Order">
    <vt:lpwstr>233000</vt:lpwstr>
  </property>
</Properties>
</file>