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tabs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COMMUNITY RELATIONS</w:t>
        <w:tab/>
        <w:t xml:space="preserve">4520</w:t>
      </w:r>
    </w:p>
    <w:p w:rsidR="00000000" w:rsidDel="00000000" w:rsidP="00000000" w:rsidRDefault="00000000" w:rsidRPr="00000000" w14:paraId="00000004">
      <w:pPr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Soliciting and Accepting Grants or Donations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Prior to seeking any grant or donation on behalf of the District or its schools, an applicant must obtain prior approval from the District. Any staff, administrators, school-related groups, or members of the public seeking grants or donations on behalf of the school or for the benefit of the school and/or its students should first discuss </w:t>
      </w:r>
      <w:r w:rsidDel="00000000" w:rsidR="00000000" w:rsidRPr="00000000">
        <w:rPr>
          <w:rtl w:val="0"/>
        </w:rPr>
        <w:t xml:space="preserve">such a request</w:t>
      </w:r>
      <w:r w:rsidDel="00000000" w:rsidR="00000000" w:rsidRPr="00000000">
        <w:rPr>
          <w:color w:val="000000"/>
          <w:rtl w:val="0"/>
        </w:rPr>
        <w:t xml:space="preserve"> with the building principal. 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Prior to finalization of any grant or donation associated with the school and/or its students, all requests for grants or donations must be approved by the Superintendent. When the appropriateness of a request is in doubt or if the grant/donation obligates the school to engage in specific actions or obligations or involves the addition of District/school funding, the Superintendent shall refer the request to the Board for final acceptance or rejection. 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Grants for projects that will affect the physical structure of a building may be referred by the Superintendent to a committee in the same manner as requests to make donations that will affect a building’s physical structure, as described in Policy 4510.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Approval of a grant or donation request shall depend on factors including, but not limited to, the availability of existing District resources and the following principles:</w:t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Conformance with the District's policies, goals, and objectives;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District's instructional priorities, strategies, and standards;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Equity in funding;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Conformance to District governance and decision-making procedures of the Board, central office, and building-level staff;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Provision of value or benefit that is greater than the obligation under the grant award;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Lack of conditions that would divert school or District efforts away from the District's primary mission;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Conditions that obligate the District/school to engage in specific actions or obligations;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Any financial impact upon the District associated with required additions of District/school funds to the grant activity; and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District criteria for accepting gifts.</w:t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Board reserves the right to deny approval of solicitation of any funding or grant application or to refuse acceptance of any funds awarded or donated. </w:t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160"/>
          <w:tab w:val="left" w:leader="none" w:pos="3240"/>
        </w:tabs>
        <w:ind w:left="3240" w:hanging="324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Cross Reference: </w:t>
        <w:tab/>
        <w:t xml:space="preserve">4500</w:t>
        <w:tab/>
        <w:t xml:space="preserve">Public Gifts/Donations to the Schools</w:t>
        <w:tab/>
      </w:r>
    </w:p>
    <w:p w:rsidR="00000000" w:rsidDel="00000000" w:rsidP="00000000" w:rsidRDefault="00000000" w:rsidRPr="00000000" w14:paraId="0000001D">
      <w:pPr>
        <w:tabs>
          <w:tab w:val="left" w:leader="none" w:pos="2160"/>
          <w:tab w:val="left" w:leader="none" w:pos="3240"/>
        </w:tabs>
        <w:ind w:left="3240" w:hanging="324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4500P</w:t>
        <w:tab/>
        <w:t xml:space="preserve">Public Gifts/Donations to the Schools</w:t>
      </w:r>
    </w:p>
    <w:p w:rsidR="00000000" w:rsidDel="00000000" w:rsidP="00000000" w:rsidRDefault="00000000" w:rsidRPr="00000000" w14:paraId="0000001E">
      <w:pPr>
        <w:tabs>
          <w:tab w:val="left" w:leader="none" w:pos="2160"/>
          <w:tab w:val="left" w:leader="none" w:pos="3240"/>
        </w:tabs>
        <w:ind w:left="3240" w:hanging="324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4510</w:t>
        <w:tab/>
        <w:t xml:space="preserve">Public Gifts to the Schools: Donations of Material/Equipment Affecting Building Structure or Maintenance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u w:val="single"/>
          <w:rtl w:val="0"/>
        </w:rPr>
        <w:t xml:space="preserve">Policy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Adopted on: 12/10/24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Revised on: </w:t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rtl w:val="0"/>
        </w:rPr>
        <w:t xml:space="preserve">Reviewed on: 11/5/24, 12/3/24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4520-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7B5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354F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F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4F30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rsid w:val="00354F30"/>
  </w:style>
  <w:style w:type="paragraph" w:styleId="BalloonText">
    <w:name w:val="Balloon Text"/>
    <w:basedOn w:val="Normal"/>
    <w:semiHidden w:val="1"/>
    <w:rsid w:val="008B717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PzjfMjXafR2+UUuKpA+ShIf4w==">CgMxLjAyCWlkLmdqZGd4czgAciExRXc0UldyLTBqSFRPRUU2V25uMlJ5R1pkLWJRZWRjaUQ=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2022-08-03T18:54:00Z</dcterms:created>
  <dc:creator>Preferred 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lpwstr>234600</vt:lpwstr>
  </property>
</Properties>
</file>