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755D" w14:textId="6DCA7A7E" w:rsidR="005647E4" w:rsidRPr="00FC067F" w:rsidRDefault="001D0E03" w:rsidP="0042041B">
      <w:pPr>
        <w:spacing w:line="240" w:lineRule="atLeast"/>
        <w:rPr>
          <w:b/>
          <w:color w:val="000000"/>
        </w:rPr>
      </w:pPr>
      <w:r w:rsidRPr="00FC067F">
        <w:rPr>
          <w:b/>
          <w:color w:val="000000"/>
        </w:rPr>
        <w:t>Bruneau-Grand View Joint School District #365</w:t>
      </w:r>
    </w:p>
    <w:p w14:paraId="01854C47" w14:textId="77777777" w:rsidR="003E09A3" w:rsidRPr="00FC067F" w:rsidRDefault="003E09A3" w:rsidP="0042041B">
      <w:pPr>
        <w:spacing w:line="240" w:lineRule="atLeast"/>
        <w:rPr>
          <w:b/>
          <w:color w:val="000000"/>
        </w:rPr>
      </w:pPr>
    </w:p>
    <w:p w14:paraId="71CC01F4" w14:textId="77777777" w:rsidR="00356727" w:rsidRPr="00FC067F" w:rsidRDefault="00356727" w:rsidP="00BA0CE4">
      <w:pPr>
        <w:tabs>
          <w:tab w:val="right" w:pos="9360"/>
        </w:tabs>
        <w:spacing w:line="240" w:lineRule="atLeast"/>
        <w:rPr>
          <w:color w:val="000000"/>
        </w:rPr>
      </w:pPr>
      <w:r w:rsidRPr="00FC067F">
        <w:rPr>
          <w:b/>
        </w:rPr>
        <w:t>FINANCIAL MANAGEMENT</w:t>
      </w:r>
      <w:r w:rsidRPr="00FC067F">
        <w:rPr>
          <w:b/>
          <w:color w:val="000000"/>
        </w:rPr>
        <w:tab/>
        <w:t>7400</w:t>
      </w:r>
      <w:r w:rsidR="00B71E63" w:rsidRPr="00FC067F">
        <w:rPr>
          <w:b/>
          <w:color w:val="000000"/>
        </w:rPr>
        <w:t>P</w:t>
      </w:r>
      <w:r w:rsidR="00CE7BFF" w:rsidRPr="00FC067F">
        <w:rPr>
          <w:b/>
          <w:color w:val="000000"/>
        </w:rPr>
        <w:t>2</w:t>
      </w:r>
    </w:p>
    <w:p w14:paraId="3A73D664" w14:textId="77777777" w:rsidR="007245CF" w:rsidRPr="00FC067F" w:rsidRDefault="007245CF" w:rsidP="0042041B">
      <w:pPr>
        <w:spacing w:line="240" w:lineRule="atLeast"/>
        <w:rPr>
          <w:color w:val="000000"/>
          <w:u w:val="single"/>
        </w:rPr>
      </w:pPr>
    </w:p>
    <w:p w14:paraId="08F49D2A" w14:textId="77777777" w:rsidR="00124638" w:rsidRPr="00FC067F" w:rsidRDefault="00124638" w:rsidP="0042041B">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FC067F">
        <w:t xml:space="preserve">Procurement </w:t>
      </w:r>
      <w:r w:rsidR="00CE7BFF" w:rsidRPr="00FC067F">
        <w:t xml:space="preserve">Methods </w:t>
      </w:r>
      <w:r w:rsidRPr="00FC067F">
        <w:t>Under a Federal Award</w:t>
      </w:r>
    </w:p>
    <w:p w14:paraId="2B3DF7C7" w14:textId="77777777" w:rsidR="00124638" w:rsidRPr="00FC067F" w:rsidRDefault="00124638" w:rsidP="0042041B">
      <w:pPr>
        <w:spacing w:line="240" w:lineRule="atLeast"/>
        <w:rPr>
          <w:color w:val="000000"/>
        </w:rPr>
      </w:pPr>
    </w:p>
    <w:p w14:paraId="03574485" w14:textId="77777777" w:rsidR="00CE7BFF" w:rsidRPr="0064703A" w:rsidRDefault="00CE7BFF" w:rsidP="0042041B">
      <w:pPr>
        <w:spacing w:line="240" w:lineRule="atLeast"/>
      </w:pPr>
      <w:r w:rsidRPr="00FC067F">
        <w:rPr>
          <w:color w:val="000000"/>
        </w:rPr>
        <w:t xml:space="preserve">This procedure shall apply to purchases with federal </w:t>
      </w:r>
      <w:r w:rsidRPr="00FC067F">
        <w:t>funds</w:t>
      </w:r>
      <w:r w:rsidR="00175D3C" w:rsidRPr="00FC067F">
        <w:t xml:space="preserve"> not solicited through a sealed bid process</w:t>
      </w:r>
      <w:r w:rsidRPr="00FC067F">
        <w:t>.</w:t>
      </w:r>
    </w:p>
    <w:p w14:paraId="45EC50C6" w14:textId="77777777" w:rsidR="00CE7BFF" w:rsidRPr="0064703A" w:rsidRDefault="00CE7BFF" w:rsidP="0042041B">
      <w:pPr>
        <w:spacing w:line="240" w:lineRule="atLeast"/>
        <w:rPr>
          <w:color w:val="000000"/>
        </w:rPr>
      </w:pPr>
    </w:p>
    <w:p w14:paraId="15E38716" w14:textId="77777777" w:rsidR="00CE7BFF" w:rsidRPr="0064703A" w:rsidRDefault="00CE7BFF" w:rsidP="0042041B">
      <w:pPr>
        <w:pStyle w:val="Subtitle"/>
      </w:pPr>
      <w:r w:rsidRPr="0064703A">
        <w:t>Competitive Proposals</w:t>
      </w:r>
    </w:p>
    <w:p w14:paraId="54C21196" w14:textId="77777777" w:rsidR="00CE7BFF" w:rsidRPr="0064703A" w:rsidRDefault="00CE7BFF" w:rsidP="0042041B">
      <w:pPr>
        <w:spacing w:line="240" w:lineRule="atLeast"/>
        <w:rPr>
          <w:color w:val="000000"/>
        </w:rPr>
      </w:pPr>
    </w:p>
    <w:p w14:paraId="342982FB" w14:textId="77777777" w:rsidR="00CE7BFF" w:rsidRPr="00BB50CB" w:rsidRDefault="00CE7BFF" w:rsidP="0042041B">
      <w:pPr>
        <w:spacing w:line="240" w:lineRule="atLeast"/>
        <w:rPr>
          <w:color w:val="000000"/>
        </w:rPr>
      </w:pPr>
      <w:r w:rsidRPr="00BB50CB">
        <w:rPr>
          <w:color w:val="000000"/>
        </w:rPr>
        <w:t>The technique of competitive proposals is normally conducted when more than one source submits an offer, and either a fixed price or cost-reimbursement type contract is to be awarded. It is generally used when conditions are not appropriate for the use of sealed bids. If this method is used, the following requirements apply:</w:t>
      </w:r>
    </w:p>
    <w:p w14:paraId="3792A8B5" w14:textId="77777777" w:rsidR="00CE7BFF" w:rsidRPr="00BB50CB" w:rsidRDefault="00CE7BFF" w:rsidP="0042041B">
      <w:pPr>
        <w:spacing w:line="240" w:lineRule="atLeast"/>
        <w:ind w:left="720" w:hanging="360"/>
        <w:rPr>
          <w:color w:val="000000"/>
        </w:rPr>
      </w:pPr>
    </w:p>
    <w:p w14:paraId="105EF336" w14:textId="6438670D" w:rsidR="00CE7BFF" w:rsidRPr="00E86730" w:rsidRDefault="00CE7BFF" w:rsidP="00E86730">
      <w:pPr>
        <w:pStyle w:val="ListParagraph"/>
        <w:numPr>
          <w:ilvl w:val="0"/>
          <w:numId w:val="5"/>
        </w:numPr>
        <w:spacing w:line="240" w:lineRule="atLeast"/>
        <w:rPr>
          <w:color w:val="000000"/>
        </w:rPr>
      </w:pPr>
      <w:r w:rsidRPr="00E86730">
        <w:rPr>
          <w:color w:val="000000"/>
        </w:rPr>
        <w:t xml:space="preserve">Requests for proposals must be publicized and identify all evaluation factors and their relative importance. Any response to publicized requests for proposals must be considered to the maximum extent </w:t>
      </w:r>
      <w:proofErr w:type="gramStart"/>
      <w:r w:rsidRPr="00E86730">
        <w:rPr>
          <w:color w:val="000000"/>
        </w:rPr>
        <w:t>practical;</w:t>
      </w:r>
      <w:proofErr w:type="gramEnd"/>
    </w:p>
    <w:p w14:paraId="25A50EB9" w14:textId="77777777" w:rsidR="00CE7BFF" w:rsidRPr="00BB50CB" w:rsidRDefault="00CE7BFF" w:rsidP="0042041B">
      <w:pPr>
        <w:spacing w:line="240" w:lineRule="atLeast"/>
        <w:ind w:left="720" w:hanging="360"/>
        <w:rPr>
          <w:color w:val="000000"/>
        </w:rPr>
      </w:pPr>
    </w:p>
    <w:p w14:paraId="7107BB62" w14:textId="2BA25E81" w:rsidR="00E86730" w:rsidRDefault="00E86730" w:rsidP="00E86730">
      <w:pPr>
        <w:pStyle w:val="ListParagraph"/>
        <w:numPr>
          <w:ilvl w:val="0"/>
          <w:numId w:val="5"/>
        </w:numPr>
        <w:spacing w:line="240" w:lineRule="atLeast"/>
        <w:rPr>
          <w:color w:val="000000"/>
        </w:rPr>
      </w:pPr>
      <w:r>
        <w:rPr>
          <w:color w:val="000000"/>
        </w:rPr>
        <w:t xml:space="preserve">The </w:t>
      </w:r>
      <w:proofErr w:type="gramStart"/>
      <w:r>
        <w:rPr>
          <w:color w:val="000000"/>
        </w:rPr>
        <w:t>District</w:t>
      </w:r>
      <w:proofErr w:type="gramEnd"/>
      <w:r>
        <w:rPr>
          <w:color w:val="000000"/>
        </w:rPr>
        <w:t xml:space="preserve"> </w:t>
      </w:r>
      <w:r w:rsidRPr="00E86730">
        <w:rPr>
          <w:color w:val="000000"/>
        </w:rPr>
        <w:t xml:space="preserve">must have a written method for conducting technical evaluations of the proposals received and making </w:t>
      </w:r>
      <w:proofErr w:type="gramStart"/>
      <w:r w:rsidRPr="00E86730">
        <w:rPr>
          <w:color w:val="000000"/>
        </w:rPr>
        <w:t>selections</w:t>
      </w:r>
      <w:r>
        <w:rPr>
          <w:color w:val="000000"/>
        </w:rPr>
        <w:t>;</w:t>
      </w:r>
      <w:proofErr w:type="gramEnd"/>
    </w:p>
    <w:p w14:paraId="50AC8806" w14:textId="77777777" w:rsidR="00E86730" w:rsidRPr="00E86730" w:rsidRDefault="00E86730" w:rsidP="00E86730">
      <w:pPr>
        <w:pStyle w:val="ListParagraph"/>
        <w:rPr>
          <w:color w:val="000000"/>
        </w:rPr>
      </w:pPr>
    </w:p>
    <w:p w14:paraId="48329A36" w14:textId="6E954F15" w:rsidR="00CE7BFF" w:rsidRPr="00E86730" w:rsidRDefault="00CE7BFF" w:rsidP="00E86730">
      <w:pPr>
        <w:pStyle w:val="ListParagraph"/>
        <w:numPr>
          <w:ilvl w:val="0"/>
          <w:numId w:val="5"/>
        </w:numPr>
        <w:spacing w:line="240" w:lineRule="atLeast"/>
        <w:rPr>
          <w:color w:val="000000"/>
        </w:rPr>
      </w:pPr>
      <w:r w:rsidRPr="00E86730">
        <w:rPr>
          <w:color w:val="000000"/>
        </w:rPr>
        <w:t>Proposals must be solicited from an adequate number of qualified sources; and</w:t>
      </w:r>
    </w:p>
    <w:p w14:paraId="5852DCA3" w14:textId="77777777" w:rsidR="00CE7BFF" w:rsidRPr="00BB50CB" w:rsidRDefault="00CE7BFF" w:rsidP="0042041B">
      <w:pPr>
        <w:spacing w:line="240" w:lineRule="atLeast"/>
        <w:ind w:left="720" w:hanging="360"/>
        <w:rPr>
          <w:color w:val="000000"/>
        </w:rPr>
      </w:pPr>
    </w:p>
    <w:p w14:paraId="7DE73CF1" w14:textId="7726EC53" w:rsidR="00CE7BFF" w:rsidRPr="00E86730" w:rsidRDefault="00CE7BFF" w:rsidP="00E86730">
      <w:pPr>
        <w:pStyle w:val="ListParagraph"/>
        <w:numPr>
          <w:ilvl w:val="0"/>
          <w:numId w:val="5"/>
        </w:numPr>
        <w:spacing w:line="240" w:lineRule="atLeast"/>
        <w:rPr>
          <w:color w:val="000000"/>
        </w:rPr>
      </w:pPr>
      <w:r w:rsidRPr="00E86730">
        <w:rPr>
          <w:color w:val="000000"/>
        </w:rPr>
        <w:t xml:space="preserve">Contracts must be awarded to the responsible firm whose proposal is most advantageous to the program, with price and other factors considered. </w:t>
      </w:r>
    </w:p>
    <w:p w14:paraId="2B19E0B0" w14:textId="77777777" w:rsidR="00CE7BFF" w:rsidRPr="00EE2790" w:rsidRDefault="00CE7BFF" w:rsidP="0042041B">
      <w:pPr>
        <w:spacing w:line="240" w:lineRule="atLeast"/>
        <w:rPr>
          <w:color w:val="000000"/>
        </w:rPr>
      </w:pPr>
    </w:p>
    <w:p w14:paraId="1ACD9296" w14:textId="77777777" w:rsidR="00CE7BFF" w:rsidRPr="00EE2790" w:rsidRDefault="00CE7BFF" w:rsidP="0042041B">
      <w:pPr>
        <w:spacing w:line="240" w:lineRule="atLeast"/>
        <w:rPr>
          <w:color w:val="000000"/>
        </w:rPr>
      </w:pPr>
      <w:r w:rsidRPr="00EE2790">
        <w:rPr>
          <w:color w:val="000000"/>
        </w:rPr>
        <w:t xml:space="preserve">The </w:t>
      </w:r>
      <w:proofErr w:type="gramStart"/>
      <w:r w:rsidRPr="00EE2790">
        <w:rPr>
          <w:color w:val="000000"/>
        </w:rPr>
        <w:t>District</w:t>
      </w:r>
      <w:proofErr w:type="gramEnd"/>
      <w:r w:rsidRPr="00EE2790">
        <w:rPr>
          <w:color w:val="000000"/>
        </w:rPr>
        <w:t xml:space="preserve"> may use competitive proposal procedures for qualifications-based procurement of architectural/engineering (A/E) professional services whereby competitors' qualifications are </w:t>
      </w:r>
      <w:proofErr w:type="gramStart"/>
      <w:r w:rsidRPr="00EE2790">
        <w:rPr>
          <w:color w:val="000000"/>
        </w:rPr>
        <w:t>evaluated</w:t>
      </w:r>
      <w:proofErr w:type="gramEnd"/>
      <w:r w:rsidRPr="00EE2790">
        <w:rPr>
          <w:color w:val="000000"/>
        </w:rPr>
        <w:t xml:space="preserve"> and the most qualified competitor is selected, subject to negotiation of fair and reasonable compensation. This method, where price is not used as a selection factor, can only be used in procurement of A/E professional services. It cannot be used to purchase other types of services though A/E firms are a potential source to perform the proposed effort.</w:t>
      </w:r>
    </w:p>
    <w:p w14:paraId="5B7D4561" w14:textId="77777777" w:rsidR="00CE7BFF" w:rsidRPr="00EE2790" w:rsidRDefault="00CE7BFF" w:rsidP="0042041B">
      <w:pPr>
        <w:spacing w:line="240" w:lineRule="atLeast"/>
        <w:rPr>
          <w:color w:val="000000"/>
        </w:rPr>
      </w:pPr>
    </w:p>
    <w:p w14:paraId="6FDB7F9D" w14:textId="77777777" w:rsidR="00CE7BFF" w:rsidRPr="00EE2790" w:rsidRDefault="00CE7BFF" w:rsidP="0042041B">
      <w:pPr>
        <w:pStyle w:val="Subtitle"/>
      </w:pPr>
      <w:r w:rsidRPr="00EE2790">
        <w:t>Contract/Price Analysis</w:t>
      </w:r>
    </w:p>
    <w:p w14:paraId="52BBA105" w14:textId="77777777" w:rsidR="00CE7BFF" w:rsidRPr="00EE2790" w:rsidRDefault="00CE7BFF" w:rsidP="0042041B">
      <w:pPr>
        <w:spacing w:line="240" w:lineRule="atLeast"/>
        <w:rPr>
          <w:color w:val="000000"/>
        </w:rPr>
      </w:pPr>
    </w:p>
    <w:p w14:paraId="031D27BE" w14:textId="41ABEBEF" w:rsidR="00CE7BFF" w:rsidRPr="00CA1C98" w:rsidRDefault="00CE7BFF" w:rsidP="0042041B">
      <w:pPr>
        <w:spacing w:line="240" w:lineRule="atLeast"/>
        <w:rPr>
          <w:color w:val="000000"/>
        </w:rPr>
      </w:pPr>
      <w:r w:rsidRPr="003414BA">
        <w:rPr>
          <w:color w:val="000000"/>
        </w:rPr>
        <w:t xml:space="preserve">The </w:t>
      </w:r>
      <w:proofErr w:type="gramStart"/>
      <w:r w:rsidRPr="002F2A08">
        <w:rPr>
          <w:color w:val="000000"/>
        </w:rPr>
        <w:t>District</w:t>
      </w:r>
      <w:proofErr w:type="gramEnd"/>
      <w:r w:rsidRPr="002F2A08">
        <w:rPr>
          <w:color w:val="000000"/>
        </w:rPr>
        <w:t xml:space="preserve"> performs a cost or price analysis in connection with every procurement action</w:t>
      </w:r>
      <w:r w:rsidR="00967F85" w:rsidRPr="002F2A08">
        <w:rPr>
          <w:color w:val="000000"/>
        </w:rPr>
        <w:t>, (including contract modifications),</w:t>
      </w:r>
      <w:r w:rsidR="00D82E9D" w:rsidRPr="002F2A08">
        <w:rPr>
          <w:color w:val="000000"/>
        </w:rPr>
        <w:t xml:space="preserve"> </w:t>
      </w:r>
      <w:proofErr w:type="gramStart"/>
      <w:r w:rsidRPr="002F2A08">
        <w:rPr>
          <w:color w:val="000000"/>
        </w:rPr>
        <w:t>in excess of</w:t>
      </w:r>
      <w:proofErr w:type="gramEnd"/>
      <w:r w:rsidRPr="002F2A08">
        <w:rPr>
          <w:color w:val="000000"/>
        </w:rPr>
        <w:t xml:space="preserve"> </w:t>
      </w:r>
      <w:r w:rsidR="00967F85" w:rsidRPr="002F2A08">
        <w:rPr>
          <w:color w:val="000000"/>
        </w:rPr>
        <w:t xml:space="preserve">the </w:t>
      </w:r>
      <w:proofErr w:type="gramStart"/>
      <w:r w:rsidR="00967F85" w:rsidRPr="002F2A08">
        <w:rPr>
          <w:color w:val="000000"/>
        </w:rPr>
        <w:t>District’s</w:t>
      </w:r>
      <w:proofErr w:type="gramEnd"/>
      <w:r w:rsidR="00967F85" w:rsidRPr="002F2A08">
        <w:rPr>
          <w:color w:val="000000"/>
        </w:rPr>
        <w:t xml:space="preserve"> simplified procurement threshold or </w:t>
      </w:r>
      <w:proofErr w:type="gramStart"/>
      <w:r w:rsidR="00967F85" w:rsidRPr="002F2A08">
        <w:rPr>
          <w:color w:val="000000"/>
        </w:rPr>
        <w:t>in excess of</w:t>
      </w:r>
      <w:proofErr w:type="gramEnd"/>
      <w:r w:rsidR="00967F85" w:rsidRPr="002F2A08">
        <w:rPr>
          <w:color w:val="000000"/>
        </w:rPr>
        <w:t xml:space="preserve"> </w:t>
      </w:r>
      <w:r w:rsidRPr="002F2A08">
        <w:rPr>
          <w:color w:val="000000"/>
        </w:rPr>
        <w:t>$</w:t>
      </w:r>
      <w:r w:rsidR="0092374D" w:rsidRPr="002F2A08">
        <w:rPr>
          <w:color w:val="000000"/>
        </w:rPr>
        <w:t>50,000</w:t>
      </w:r>
      <w:r w:rsidR="00967F85" w:rsidRPr="002F2A08">
        <w:rPr>
          <w:color w:val="000000"/>
        </w:rPr>
        <w:t>, whichever amount is lower</w:t>
      </w:r>
      <w:r w:rsidR="007A28BF" w:rsidRPr="002F2A08">
        <w:rPr>
          <w:color w:val="000000"/>
        </w:rPr>
        <w:t>.</w:t>
      </w:r>
      <w:r w:rsidR="00967F85" w:rsidRPr="002F2A08">
        <w:rPr>
          <w:color w:val="000000"/>
        </w:rPr>
        <w:t xml:space="preserve"> </w:t>
      </w:r>
      <w:r w:rsidRPr="002F2A08">
        <w:rPr>
          <w:color w:val="000000"/>
        </w:rPr>
        <w:t xml:space="preserve">A cost analysis generally means evaluating the separate cost elements that make up the total price, while a </w:t>
      </w:r>
      <w:r w:rsidR="00787C2C" w:rsidRPr="002F2A08">
        <w:rPr>
          <w:color w:val="000000"/>
        </w:rPr>
        <w:t xml:space="preserve">price analysis means evaluating </w:t>
      </w:r>
      <w:r w:rsidRPr="002F2A08">
        <w:rPr>
          <w:color w:val="000000"/>
        </w:rPr>
        <w:t>the total price, without looking at the individual cost elements</w:t>
      </w:r>
      <w:r w:rsidRPr="00CA1C98">
        <w:rPr>
          <w:color w:val="000000"/>
        </w:rPr>
        <w:t>.</w:t>
      </w:r>
      <w:r w:rsidR="00D07DE9" w:rsidRPr="00CA1C98">
        <w:rPr>
          <w:color w:val="000000"/>
        </w:rPr>
        <w:t xml:space="preserve"> </w:t>
      </w:r>
    </w:p>
    <w:p w14:paraId="108A5F38" w14:textId="77777777" w:rsidR="00CE7BFF" w:rsidRPr="00CA1C98" w:rsidRDefault="00CE7BFF" w:rsidP="0042041B">
      <w:pPr>
        <w:spacing w:line="240" w:lineRule="atLeast"/>
        <w:rPr>
          <w:color w:val="000000"/>
        </w:rPr>
      </w:pPr>
    </w:p>
    <w:p w14:paraId="2773ADDB" w14:textId="69ACDEEB" w:rsidR="00CE7BFF" w:rsidRPr="00D744F8" w:rsidRDefault="00CE7BFF" w:rsidP="0042041B">
      <w:pPr>
        <w:spacing w:line="240" w:lineRule="atLeast"/>
        <w:rPr>
          <w:color w:val="000000"/>
        </w:rPr>
      </w:pPr>
      <w:r w:rsidRPr="00CA1C98">
        <w:rPr>
          <w:color w:val="000000"/>
        </w:rPr>
        <w:t>The method and degree of analysis is dependent on the f</w:t>
      </w:r>
      <w:r w:rsidR="00967F85" w:rsidRPr="00CA1C98">
        <w:rPr>
          <w:color w:val="000000"/>
        </w:rPr>
        <w:t xml:space="preserve">acts surrounding the </w:t>
      </w:r>
      <w:proofErr w:type="gramStart"/>
      <w:r w:rsidR="00967F85" w:rsidRPr="00CA1C98">
        <w:rPr>
          <w:color w:val="000000"/>
        </w:rPr>
        <w:t xml:space="preserve">particular </w:t>
      </w:r>
      <w:r w:rsidRPr="00CA1C98">
        <w:rPr>
          <w:color w:val="000000"/>
        </w:rPr>
        <w:t>procurement</w:t>
      </w:r>
      <w:proofErr w:type="gramEnd"/>
      <w:r w:rsidRPr="00CA1C98">
        <w:rPr>
          <w:color w:val="000000"/>
        </w:rPr>
        <w:t xml:space="preserve"> situation; however, the District Superintendent must come to </w:t>
      </w:r>
      <w:r w:rsidRPr="00D744F8">
        <w:rPr>
          <w:color w:val="000000"/>
        </w:rPr>
        <w:t xml:space="preserve">an independent estimate prior to receiving bids or proposals. </w:t>
      </w:r>
    </w:p>
    <w:p w14:paraId="32E3AE48" w14:textId="63A949A6" w:rsidR="00CE7BFF" w:rsidRPr="00C92EF3" w:rsidRDefault="00CE7BFF" w:rsidP="0042041B">
      <w:pPr>
        <w:spacing w:line="240" w:lineRule="atLeast"/>
        <w:rPr>
          <w:color w:val="000000"/>
        </w:rPr>
      </w:pPr>
      <w:r w:rsidRPr="00D744F8">
        <w:rPr>
          <w:color w:val="000000"/>
        </w:rPr>
        <w:lastRenderedPageBreak/>
        <w:t xml:space="preserve">When performing a cost analysis, the District Superintendent negotiates profit as a separate </w:t>
      </w:r>
      <w:r w:rsidRPr="00C92EF3">
        <w:rPr>
          <w:color w:val="000000"/>
        </w:rPr>
        <w:t xml:space="preserve">element of the price. 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707B44C3" w14:textId="65AEA9CB" w:rsidR="004E5579" w:rsidRPr="00C92EF3" w:rsidRDefault="004E5579" w:rsidP="0042041B">
      <w:pPr>
        <w:spacing w:line="240" w:lineRule="atLeast"/>
        <w:rPr>
          <w:color w:val="000000"/>
        </w:rPr>
      </w:pPr>
    </w:p>
    <w:p w14:paraId="78B4B2E6" w14:textId="56441A9C" w:rsidR="004E5579" w:rsidRPr="00C92EF3" w:rsidRDefault="004E5579" w:rsidP="0042041B">
      <w:pPr>
        <w:spacing w:line="240" w:lineRule="atLeast"/>
        <w:rPr>
          <w:color w:val="000000"/>
        </w:rPr>
      </w:pPr>
      <w:r w:rsidRPr="00C92EF3">
        <w:rPr>
          <w:color w:val="000000"/>
        </w:rPr>
        <w:t>Documentation of all such cost and price analyses shall be kept</w:t>
      </w:r>
      <w:r w:rsidR="00A025F4" w:rsidRPr="00C92EF3">
        <w:rPr>
          <w:color w:val="000000"/>
        </w:rPr>
        <w:t xml:space="preserve"> for three years beyond the current year for review</w:t>
      </w:r>
      <w:r w:rsidRPr="00C92EF3">
        <w:rPr>
          <w:color w:val="000000"/>
        </w:rPr>
        <w:t>.</w:t>
      </w:r>
    </w:p>
    <w:p w14:paraId="63A1E1A3" w14:textId="77777777" w:rsidR="00EE0A76" w:rsidRPr="00C92EF3" w:rsidRDefault="00EE0A76" w:rsidP="0042041B">
      <w:pPr>
        <w:spacing w:line="240" w:lineRule="atLeast"/>
        <w:rPr>
          <w:color w:val="000000"/>
        </w:rPr>
      </w:pPr>
    </w:p>
    <w:p w14:paraId="545A101E" w14:textId="77777777" w:rsidR="00CE7BFF" w:rsidRPr="00C92EF3" w:rsidRDefault="00CE7BFF" w:rsidP="0042041B">
      <w:pPr>
        <w:pStyle w:val="Subtitle"/>
      </w:pPr>
      <w:r w:rsidRPr="00C92EF3">
        <w:t>Noncompetitive Proposals (Sole Sourcing)</w:t>
      </w:r>
    </w:p>
    <w:p w14:paraId="1E2929F0" w14:textId="77777777" w:rsidR="00CE7BFF" w:rsidRPr="00C92EF3" w:rsidRDefault="00CE7BFF" w:rsidP="0042041B">
      <w:pPr>
        <w:spacing w:line="240" w:lineRule="atLeast"/>
        <w:rPr>
          <w:color w:val="000000"/>
        </w:rPr>
      </w:pPr>
      <w:r w:rsidRPr="00C92EF3">
        <w:rPr>
          <w:color w:val="000000"/>
        </w:rPr>
        <w:t xml:space="preserve"> </w:t>
      </w:r>
    </w:p>
    <w:p w14:paraId="2C3AAA44" w14:textId="77777777" w:rsidR="00CE7BFF" w:rsidRPr="00C92EF3" w:rsidRDefault="00CE7BFF" w:rsidP="0042041B">
      <w:pPr>
        <w:spacing w:line="240" w:lineRule="atLeast"/>
        <w:rPr>
          <w:color w:val="000000"/>
        </w:rPr>
      </w:pPr>
      <w:r w:rsidRPr="00C92EF3">
        <w:rPr>
          <w:color w:val="000000"/>
        </w:rPr>
        <w:t>Procurement by noncompetitive proposals is procurement through solicitation of a proposal from only one source and may be used only when one or more of the following circumstances apply:</w:t>
      </w:r>
    </w:p>
    <w:p w14:paraId="61A2B084" w14:textId="77777777" w:rsidR="00CE7BFF" w:rsidRPr="00C92EF3" w:rsidRDefault="00CE7BFF" w:rsidP="0042041B">
      <w:pPr>
        <w:spacing w:line="240" w:lineRule="atLeast"/>
        <w:rPr>
          <w:color w:val="000000"/>
        </w:rPr>
      </w:pPr>
    </w:p>
    <w:p w14:paraId="395AB289" w14:textId="77777777" w:rsidR="00CE7BFF" w:rsidRPr="00C92EF3" w:rsidRDefault="00CE7BFF" w:rsidP="0042041B">
      <w:pPr>
        <w:spacing w:line="240" w:lineRule="atLeast"/>
        <w:ind w:left="720" w:hanging="360"/>
        <w:rPr>
          <w:color w:val="000000"/>
        </w:rPr>
      </w:pPr>
      <w:r w:rsidRPr="00C92EF3">
        <w:rPr>
          <w:color w:val="000000"/>
        </w:rPr>
        <w:t>1.</w:t>
      </w:r>
      <w:r w:rsidRPr="00C92EF3">
        <w:rPr>
          <w:color w:val="000000"/>
        </w:rPr>
        <w:tab/>
        <w:t xml:space="preserve">The item is available only from a single </w:t>
      </w:r>
      <w:proofErr w:type="gramStart"/>
      <w:r w:rsidRPr="00C92EF3">
        <w:rPr>
          <w:color w:val="000000"/>
        </w:rPr>
        <w:t>source;</w:t>
      </w:r>
      <w:proofErr w:type="gramEnd"/>
    </w:p>
    <w:p w14:paraId="678011E7" w14:textId="77777777" w:rsidR="00CE7BFF" w:rsidRPr="00C92EF3" w:rsidRDefault="00CE7BFF" w:rsidP="0042041B">
      <w:pPr>
        <w:spacing w:line="240" w:lineRule="atLeast"/>
        <w:ind w:left="720" w:hanging="360"/>
        <w:rPr>
          <w:color w:val="000000"/>
        </w:rPr>
      </w:pPr>
      <w:r w:rsidRPr="00C92EF3">
        <w:rPr>
          <w:color w:val="000000"/>
        </w:rPr>
        <w:t>2.</w:t>
      </w:r>
      <w:r w:rsidRPr="00C92EF3">
        <w:rPr>
          <w:color w:val="000000"/>
        </w:rPr>
        <w:tab/>
        <w:t xml:space="preserve">The public exigency or emergency for the requirement will not permit a delay resulting from competitive </w:t>
      </w:r>
      <w:proofErr w:type="gramStart"/>
      <w:r w:rsidRPr="00C92EF3">
        <w:rPr>
          <w:color w:val="000000"/>
        </w:rPr>
        <w:t>solicitation;</w:t>
      </w:r>
      <w:proofErr w:type="gramEnd"/>
    </w:p>
    <w:p w14:paraId="373BA67B" w14:textId="77777777" w:rsidR="00CE7BFF" w:rsidRPr="00C92EF3" w:rsidRDefault="00CE7BFF" w:rsidP="0042041B">
      <w:pPr>
        <w:spacing w:line="240" w:lineRule="atLeast"/>
        <w:ind w:left="720" w:hanging="360"/>
        <w:rPr>
          <w:color w:val="000000"/>
        </w:rPr>
      </w:pPr>
      <w:r w:rsidRPr="00C92EF3">
        <w:rPr>
          <w:color w:val="000000"/>
        </w:rPr>
        <w:t>3.</w:t>
      </w:r>
      <w:r w:rsidRPr="00C92EF3">
        <w:rPr>
          <w:color w:val="000000"/>
        </w:rPr>
        <w:tab/>
        <w:t xml:space="preserve">The federal awarding agency or pass-through entity expressly authorizes noncompetitive proposals in response to a written request from the District; or </w:t>
      </w:r>
    </w:p>
    <w:p w14:paraId="066E952E" w14:textId="77777777" w:rsidR="00CE7BFF" w:rsidRPr="00C92EF3" w:rsidRDefault="00CE7BFF" w:rsidP="0042041B">
      <w:pPr>
        <w:spacing w:line="240" w:lineRule="atLeast"/>
        <w:ind w:left="720" w:hanging="360"/>
        <w:rPr>
          <w:color w:val="000000"/>
        </w:rPr>
      </w:pPr>
      <w:r w:rsidRPr="00C92EF3">
        <w:rPr>
          <w:color w:val="000000"/>
        </w:rPr>
        <w:t>4.</w:t>
      </w:r>
      <w:r w:rsidRPr="00C92EF3">
        <w:rPr>
          <w:color w:val="000000"/>
        </w:rPr>
        <w:tab/>
        <w:t xml:space="preserve">After solicitation of </w:t>
      </w:r>
      <w:proofErr w:type="gramStart"/>
      <w:r w:rsidRPr="00C92EF3">
        <w:rPr>
          <w:color w:val="000000"/>
        </w:rPr>
        <w:t>a number of</w:t>
      </w:r>
      <w:proofErr w:type="gramEnd"/>
      <w:r w:rsidRPr="00C92EF3">
        <w:rPr>
          <w:color w:val="000000"/>
        </w:rPr>
        <w:t xml:space="preserve"> sources, competition is determined </w:t>
      </w:r>
      <w:proofErr w:type="gramStart"/>
      <w:r w:rsidRPr="00C92EF3">
        <w:rPr>
          <w:color w:val="000000"/>
        </w:rPr>
        <w:t>inadequate</w:t>
      </w:r>
      <w:proofErr w:type="gramEnd"/>
      <w:r w:rsidRPr="00C92EF3">
        <w:rPr>
          <w:color w:val="000000"/>
        </w:rPr>
        <w:t>.</w:t>
      </w:r>
    </w:p>
    <w:p w14:paraId="5B5DA6AE" w14:textId="77777777" w:rsidR="00CE7BFF" w:rsidRPr="00C92EF3" w:rsidRDefault="00CE7BFF" w:rsidP="0042041B">
      <w:pPr>
        <w:spacing w:line="240" w:lineRule="atLeast"/>
        <w:rPr>
          <w:color w:val="000000"/>
        </w:rPr>
      </w:pPr>
    </w:p>
    <w:p w14:paraId="32D0380E" w14:textId="40C5756A" w:rsidR="00CE7BFF" w:rsidRPr="009728D8" w:rsidRDefault="00CE7BFF" w:rsidP="0042041B">
      <w:pPr>
        <w:spacing w:line="240" w:lineRule="atLeast"/>
        <w:rPr>
          <w:color w:val="000000"/>
        </w:rPr>
      </w:pPr>
      <w:r w:rsidRPr="5FE7F291">
        <w:rPr>
          <w:color w:val="000000" w:themeColor="text1"/>
        </w:rPr>
        <w:t xml:space="preserve">A cost or price analysis will be performed for noncompetitive proposals when the price exceeds </w:t>
      </w:r>
      <w:r w:rsidR="005C5979">
        <w:rPr>
          <w:color w:val="000000" w:themeColor="text1"/>
        </w:rPr>
        <w:t>$50,000.</w:t>
      </w:r>
      <w:r w:rsidR="004F6848">
        <w:rPr>
          <w:b/>
          <w:bCs/>
          <w:color w:val="000000" w:themeColor="text1"/>
        </w:rPr>
        <w:t xml:space="preserve"> </w:t>
      </w:r>
    </w:p>
    <w:p w14:paraId="79033890" w14:textId="77777777" w:rsidR="00CE7BFF" w:rsidRPr="00F97B8C" w:rsidRDefault="00CE7BFF" w:rsidP="0042041B">
      <w:pPr>
        <w:spacing w:line="240" w:lineRule="atLeast"/>
        <w:rPr>
          <w:color w:val="000000"/>
        </w:rPr>
      </w:pPr>
      <w:r w:rsidRPr="00F97B8C">
        <w:rPr>
          <w:color w:val="000000"/>
        </w:rPr>
        <w:t xml:space="preserve"> </w:t>
      </w:r>
    </w:p>
    <w:p w14:paraId="0B9DF775" w14:textId="77777777" w:rsidR="00CE7BFF" w:rsidRPr="00F97B8C" w:rsidRDefault="00CE7BFF" w:rsidP="0042041B">
      <w:pPr>
        <w:pStyle w:val="Subtitle"/>
      </w:pPr>
      <w:r w:rsidRPr="00F97B8C">
        <w:t>Full and Open Competition</w:t>
      </w:r>
    </w:p>
    <w:p w14:paraId="462B02D1" w14:textId="77777777" w:rsidR="00CE7BFF" w:rsidRPr="00F97B8C" w:rsidRDefault="00CE7BFF" w:rsidP="0042041B">
      <w:pPr>
        <w:spacing w:line="240" w:lineRule="atLeast"/>
        <w:rPr>
          <w:color w:val="000000"/>
        </w:rPr>
      </w:pPr>
    </w:p>
    <w:p w14:paraId="7B17F86B" w14:textId="53ABCA20" w:rsidR="00CE7BFF" w:rsidRPr="00BB6DCD" w:rsidRDefault="00CE7BFF" w:rsidP="0042041B">
      <w:pPr>
        <w:spacing w:line="240" w:lineRule="atLeast"/>
        <w:rPr>
          <w:color w:val="000000"/>
        </w:rPr>
      </w:pPr>
      <w:r w:rsidRPr="00BB6DCD">
        <w:rPr>
          <w:color w:val="000000"/>
        </w:rPr>
        <w:t xml:space="preserve">All procurement transactions must be conducted in a manner providing full and open competition consistent with 2 CFR §200.319. </w:t>
      </w:r>
      <w:proofErr w:type="gramStart"/>
      <w:r w:rsidRPr="00BB6DCD">
        <w:rPr>
          <w:color w:val="000000"/>
        </w:rPr>
        <w:t>In order to</w:t>
      </w:r>
      <w:proofErr w:type="gramEnd"/>
      <w:r w:rsidRPr="00BB6DCD">
        <w:rPr>
          <w:color w:val="000000"/>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61A221AC" w14:textId="77777777" w:rsidR="00CE7BFF" w:rsidRPr="00BB6DCD" w:rsidRDefault="00CE7BFF" w:rsidP="0042041B">
      <w:pPr>
        <w:spacing w:line="240" w:lineRule="atLeast"/>
        <w:rPr>
          <w:color w:val="000000"/>
        </w:rPr>
      </w:pPr>
    </w:p>
    <w:p w14:paraId="23F2A69E" w14:textId="77777777" w:rsidR="00CE7BFF" w:rsidRPr="00BB6DCD" w:rsidRDefault="00CE7BFF" w:rsidP="0042041B">
      <w:pPr>
        <w:spacing w:line="240" w:lineRule="atLeast"/>
        <w:ind w:left="720" w:hanging="360"/>
        <w:rPr>
          <w:color w:val="000000"/>
        </w:rPr>
      </w:pPr>
      <w:r w:rsidRPr="00BB6DCD">
        <w:rPr>
          <w:color w:val="000000"/>
        </w:rPr>
        <w:t>1.</w:t>
      </w:r>
      <w:r w:rsidRPr="00BB6DCD">
        <w:rPr>
          <w:color w:val="000000"/>
        </w:rPr>
        <w:tab/>
        <w:t xml:space="preserve">Placing unreasonable requirements on firms </w:t>
      </w:r>
      <w:proofErr w:type="gramStart"/>
      <w:r w:rsidRPr="00BB6DCD">
        <w:rPr>
          <w:color w:val="000000"/>
        </w:rPr>
        <w:t>in order for</w:t>
      </w:r>
      <w:proofErr w:type="gramEnd"/>
      <w:r w:rsidRPr="00BB6DCD">
        <w:rPr>
          <w:color w:val="000000"/>
        </w:rPr>
        <w:t xml:space="preserve"> them to qualify to do </w:t>
      </w:r>
      <w:proofErr w:type="gramStart"/>
      <w:r w:rsidRPr="00BB6DCD">
        <w:rPr>
          <w:color w:val="000000"/>
        </w:rPr>
        <w:t>business;</w:t>
      </w:r>
      <w:proofErr w:type="gramEnd"/>
    </w:p>
    <w:p w14:paraId="2EEEBACA" w14:textId="77777777" w:rsidR="00CE7BFF" w:rsidRPr="001F40DB" w:rsidRDefault="00CE7BFF" w:rsidP="0042041B">
      <w:pPr>
        <w:spacing w:line="240" w:lineRule="atLeast"/>
        <w:ind w:left="720" w:hanging="360"/>
        <w:rPr>
          <w:color w:val="000000"/>
        </w:rPr>
      </w:pPr>
      <w:r w:rsidRPr="00BB6DCD">
        <w:rPr>
          <w:color w:val="000000"/>
        </w:rPr>
        <w:t>2.</w:t>
      </w:r>
      <w:r w:rsidRPr="00BB6DCD">
        <w:rPr>
          <w:color w:val="000000"/>
        </w:rPr>
        <w:tab/>
        <w:t xml:space="preserve">Requiring unnecessary </w:t>
      </w:r>
      <w:r w:rsidRPr="001F40DB">
        <w:rPr>
          <w:color w:val="000000"/>
        </w:rPr>
        <w:t xml:space="preserve">experience and excessive </w:t>
      </w:r>
      <w:proofErr w:type="gramStart"/>
      <w:r w:rsidRPr="001F40DB">
        <w:rPr>
          <w:color w:val="000000"/>
        </w:rPr>
        <w:t>bonding;</w:t>
      </w:r>
      <w:proofErr w:type="gramEnd"/>
    </w:p>
    <w:p w14:paraId="1780A47D" w14:textId="77777777" w:rsidR="00CE7BFF" w:rsidRPr="001F40DB" w:rsidRDefault="00CE7BFF" w:rsidP="0042041B">
      <w:pPr>
        <w:spacing w:line="240" w:lineRule="atLeast"/>
        <w:ind w:left="720" w:hanging="360"/>
        <w:rPr>
          <w:color w:val="000000"/>
        </w:rPr>
      </w:pPr>
      <w:r w:rsidRPr="001F40DB">
        <w:rPr>
          <w:color w:val="000000"/>
        </w:rPr>
        <w:t>3.</w:t>
      </w:r>
      <w:r w:rsidRPr="001F40DB">
        <w:rPr>
          <w:color w:val="000000"/>
        </w:rPr>
        <w:tab/>
        <w:t xml:space="preserve">Noncompetitive pricing practices between firms or between affiliated </w:t>
      </w:r>
      <w:proofErr w:type="gramStart"/>
      <w:r w:rsidRPr="001F40DB">
        <w:rPr>
          <w:color w:val="000000"/>
        </w:rPr>
        <w:t>companies;</w:t>
      </w:r>
      <w:proofErr w:type="gramEnd"/>
    </w:p>
    <w:p w14:paraId="3D32FF5D" w14:textId="77777777" w:rsidR="00CE7BFF" w:rsidRPr="001F40DB" w:rsidRDefault="00CE7BFF" w:rsidP="0042041B">
      <w:pPr>
        <w:spacing w:line="240" w:lineRule="atLeast"/>
        <w:ind w:left="720" w:hanging="360"/>
        <w:rPr>
          <w:color w:val="000000"/>
        </w:rPr>
      </w:pPr>
      <w:r w:rsidRPr="001F40DB">
        <w:rPr>
          <w:color w:val="000000"/>
        </w:rPr>
        <w:t>4.</w:t>
      </w:r>
      <w:r w:rsidRPr="001F40DB">
        <w:rPr>
          <w:color w:val="000000"/>
        </w:rPr>
        <w:tab/>
        <w:t xml:space="preserve">Noncompetitive contracts to consultants who are on retainer </w:t>
      </w:r>
      <w:proofErr w:type="gramStart"/>
      <w:r w:rsidRPr="001F40DB">
        <w:rPr>
          <w:color w:val="000000"/>
        </w:rPr>
        <w:t>contracts;</w:t>
      </w:r>
      <w:proofErr w:type="gramEnd"/>
    </w:p>
    <w:p w14:paraId="687B7636" w14:textId="77777777" w:rsidR="00CE7BFF" w:rsidRPr="001F40DB" w:rsidRDefault="00CE7BFF" w:rsidP="0042041B">
      <w:pPr>
        <w:spacing w:line="240" w:lineRule="atLeast"/>
        <w:ind w:left="720" w:hanging="360"/>
        <w:rPr>
          <w:color w:val="000000"/>
        </w:rPr>
      </w:pPr>
      <w:r w:rsidRPr="001F40DB">
        <w:rPr>
          <w:color w:val="000000"/>
        </w:rPr>
        <w:t>5.</w:t>
      </w:r>
      <w:r w:rsidRPr="001F40DB">
        <w:rPr>
          <w:color w:val="000000"/>
        </w:rPr>
        <w:tab/>
        <w:t xml:space="preserve">Organizational conflicts of </w:t>
      </w:r>
      <w:proofErr w:type="gramStart"/>
      <w:r w:rsidRPr="001F40DB">
        <w:rPr>
          <w:color w:val="000000"/>
        </w:rPr>
        <w:t>interest;</w:t>
      </w:r>
      <w:proofErr w:type="gramEnd"/>
    </w:p>
    <w:p w14:paraId="6372F73E" w14:textId="77777777" w:rsidR="00CE7BFF" w:rsidRPr="001F40DB" w:rsidRDefault="00CE7BFF" w:rsidP="0042041B">
      <w:pPr>
        <w:spacing w:line="240" w:lineRule="atLeast"/>
        <w:ind w:left="720" w:hanging="360"/>
        <w:rPr>
          <w:color w:val="000000"/>
        </w:rPr>
      </w:pPr>
      <w:r w:rsidRPr="001F40DB">
        <w:rPr>
          <w:color w:val="000000"/>
        </w:rPr>
        <w:t>6.</w:t>
      </w:r>
      <w:r w:rsidRPr="001F40DB">
        <w:rPr>
          <w:color w:val="000000"/>
        </w:rPr>
        <w:tab/>
        <w:t>Specifying only a “brand name” product instead of allowing “an equal” product to be offered and describing the performance or other relevant requirements of the procurement; and</w:t>
      </w:r>
    </w:p>
    <w:p w14:paraId="4C83E881" w14:textId="77777777" w:rsidR="0062636D" w:rsidRPr="001F40DB" w:rsidRDefault="00CE7BFF" w:rsidP="0042041B">
      <w:pPr>
        <w:spacing w:line="240" w:lineRule="atLeast"/>
        <w:ind w:left="720" w:hanging="360"/>
        <w:rPr>
          <w:color w:val="000000"/>
        </w:rPr>
      </w:pPr>
      <w:r w:rsidRPr="001F40DB">
        <w:rPr>
          <w:color w:val="000000"/>
        </w:rPr>
        <w:t>7.</w:t>
      </w:r>
      <w:r w:rsidRPr="001F40DB">
        <w:rPr>
          <w:color w:val="000000"/>
        </w:rPr>
        <w:tab/>
        <w:t>Any arbitrary action in the procurement process.</w:t>
      </w:r>
    </w:p>
    <w:p w14:paraId="7B7B74AD" w14:textId="77777777" w:rsidR="00C54B2B" w:rsidRPr="001F40DB" w:rsidRDefault="00C54B2B" w:rsidP="0042041B">
      <w:pPr>
        <w:spacing w:line="240" w:lineRule="atLeast"/>
      </w:pPr>
    </w:p>
    <w:p w14:paraId="4A380C8E" w14:textId="77777777" w:rsidR="00F2405B" w:rsidRPr="001F40DB" w:rsidRDefault="00F2405B" w:rsidP="0042041B">
      <w:pPr>
        <w:spacing w:line="240" w:lineRule="atLeast"/>
      </w:pPr>
    </w:p>
    <w:p w14:paraId="6346793A" w14:textId="3032290D" w:rsidR="003C2E46" w:rsidRPr="0050036E" w:rsidRDefault="00175D3C" w:rsidP="0042041B">
      <w:pPr>
        <w:spacing w:line="240" w:lineRule="atLeast"/>
      </w:pPr>
      <w:r w:rsidRPr="001F40DB">
        <w:t>Legal Reference:</w:t>
      </w:r>
      <w:r w:rsidR="002D329E" w:rsidRPr="001F40DB">
        <w:tab/>
        <w:t>2 CFR</w:t>
      </w:r>
      <w:r w:rsidR="00B86467" w:rsidRPr="001F40DB">
        <w:t xml:space="preserve"> </w:t>
      </w:r>
      <w:r w:rsidR="002D329E" w:rsidRPr="001F40DB">
        <w:t xml:space="preserve">§§ 200.317 </w:t>
      </w:r>
      <w:r w:rsidR="00A00351" w:rsidRPr="001F40DB">
        <w:t xml:space="preserve">- </w:t>
      </w:r>
      <w:r w:rsidR="002D329E" w:rsidRPr="001F40DB">
        <w:t>.319</w:t>
      </w:r>
      <w:r w:rsidR="002D4987" w:rsidRPr="001F40DB">
        <w:t>; .323</w:t>
      </w:r>
      <w:r w:rsidR="00B86467" w:rsidRPr="001F40DB">
        <w:t xml:space="preserve"> </w:t>
      </w:r>
      <w:r w:rsidR="00B86467" w:rsidRPr="001F40DB">
        <w:tab/>
      </w:r>
      <w:r w:rsidR="005D2361" w:rsidRPr="001F40DB">
        <w:t>Procurement by States</w:t>
      </w:r>
    </w:p>
    <w:p w14:paraId="21A59784" w14:textId="2A2D48E5" w:rsidR="00E23063" w:rsidRPr="0050036E" w:rsidRDefault="00E23063" w:rsidP="0042041B">
      <w:pPr>
        <w:spacing w:line="240" w:lineRule="atLeast"/>
      </w:pPr>
    </w:p>
    <w:p w14:paraId="68B25694" w14:textId="77777777" w:rsidR="003E09A3" w:rsidRPr="0050036E" w:rsidRDefault="003E09A3" w:rsidP="0042041B">
      <w:pPr>
        <w:spacing w:line="240" w:lineRule="atLeast"/>
        <w:rPr>
          <w:color w:val="000000"/>
        </w:rPr>
      </w:pPr>
      <w:r w:rsidRPr="0050036E">
        <w:rPr>
          <w:color w:val="000000"/>
          <w:u w:val="single"/>
        </w:rPr>
        <w:lastRenderedPageBreak/>
        <w:t>P</w:t>
      </w:r>
      <w:r w:rsidR="00B71E63" w:rsidRPr="0050036E">
        <w:rPr>
          <w:color w:val="000000"/>
          <w:u w:val="single"/>
        </w:rPr>
        <w:t>rocedure</w:t>
      </w:r>
      <w:r w:rsidRPr="0050036E">
        <w:rPr>
          <w:color w:val="000000"/>
          <w:u w:val="single"/>
        </w:rPr>
        <w:t xml:space="preserve"> History:</w:t>
      </w:r>
    </w:p>
    <w:p w14:paraId="6BF9837C" w14:textId="77777777" w:rsidR="00BB5365" w:rsidRDefault="00BB5365" w:rsidP="00BB5365">
      <w:r>
        <w:t>Adopted on: 6/10/25</w:t>
      </w:r>
    </w:p>
    <w:p w14:paraId="5E36280D" w14:textId="77777777" w:rsidR="00BB5365" w:rsidRDefault="00BB5365" w:rsidP="00BB5365">
      <w:r>
        <w:t xml:space="preserve">Revised on: </w:t>
      </w:r>
    </w:p>
    <w:p w14:paraId="20717C28" w14:textId="68DB72E1" w:rsidR="00D07DE9" w:rsidRPr="00D4258C" w:rsidRDefault="00BB5365" w:rsidP="00BB5365">
      <w:pPr>
        <w:rPr>
          <w:u w:val="single"/>
        </w:rPr>
      </w:pPr>
      <w:r>
        <w:t>Reviewed on: 5/6/25, 6/3/25</w:t>
      </w:r>
    </w:p>
    <w:sectPr w:rsidR="00D07DE9" w:rsidRPr="00D4258C" w:rsidSect="0020670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F645" w14:textId="77777777" w:rsidR="00F74695" w:rsidRDefault="00F74695">
      <w:r>
        <w:separator/>
      </w:r>
    </w:p>
  </w:endnote>
  <w:endnote w:type="continuationSeparator" w:id="0">
    <w:p w14:paraId="0697703E" w14:textId="77777777" w:rsidR="00F74695" w:rsidRDefault="00F74695">
      <w:r>
        <w:continuationSeparator/>
      </w:r>
    </w:p>
  </w:endnote>
  <w:endnote w:type="continuationNotice" w:id="1">
    <w:p w14:paraId="3EA5DB12" w14:textId="77777777" w:rsidR="00F74695" w:rsidRDefault="00F74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620F" w14:textId="77777777" w:rsidR="00606E48" w:rsidRDefault="00606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C469" w14:textId="6B03133A" w:rsidR="00F63CED" w:rsidRPr="00F2405B" w:rsidRDefault="00F63CED">
    <w:pPr>
      <w:pStyle w:val="Footer"/>
      <w:rPr>
        <w:sz w:val="20"/>
      </w:rPr>
    </w:pPr>
    <w:r w:rsidRPr="00F2405B">
      <w:rPr>
        <w:sz w:val="20"/>
      </w:rPr>
      <w:tab/>
      <w:t>7400</w:t>
    </w:r>
    <w:r w:rsidR="00B71E63" w:rsidRPr="00F2405B">
      <w:rPr>
        <w:sz w:val="20"/>
      </w:rPr>
      <w:t>P</w:t>
    </w:r>
    <w:r w:rsidR="00CE7BFF" w:rsidRPr="00F2405B">
      <w:rPr>
        <w:sz w:val="20"/>
      </w:rPr>
      <w:t>2</w:t>
    </w:r>
    <w:r w:rsidRPr="00F2405B">
      <w:rPr>
        <w:sz w:val="20"/>
      </w:rPr>
      <w:t>-</w:t>
    </w:r>
    <w:r w:rsidRPr="00F2405B">
      <w:rPr>
        <w:rStyle w:val="PageNumber"/>
        <w:sz w:val="20"/>
      </w:rPr>
      <w:fldChar w:fldCharType="begin"/>
    </w:r>
    <w:r w:rsidRPr="00F2405B">
      <w:rPr>
        <w:rStyle w:val="PageNumber"/>
        <w:sz w:val="20"/>
      </w:rPr>
      <w:instrText xml:space="preserve"> PAGE </w:instrText>
    </w:r>
    <w:r w:rsidRPr="00F2405B">
      <w:rPr>
        <w:rStyle w:val="PageNumber"/>
        <w:sz w:val="20"/>
      </w:rPr>
      <w:fldChar w:fldCharType="separate"/>
    </w:r>
    <w:r w:rsidR="0050036E">
      <w:rPr>
        <w:rStyle w:val="PageNumber"/>
        <w:noProof/>
        <w:sz w:val="20"/>
      </w:rPr>
      <w:t>3</w:t>
    </w:r>
    <w:r w:rsidRPr="00F2405B">
      <w:rPr>
        <w:rStyle w:val="PageNumber"/>
        <w:sz w:val="20"/>
      </w:rPr>
      <w:fldChar w:fldCharType="end"/>
    </w:r>
    <w:r w:rsidRPr="00F2405B">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7798" w14:textId="77777777" w:rsidR="00606E48" w:rsidRDefault="00606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A632" w14:textId="77777777" w:rsidR="00F74695" w:rsidRDefault="00F74695">
      <w:r>
        <w:separator/>
      </w:r>
    </w:p>
  </w:footnote>
  <w:footnote w:type="continuationSeparator" w:id="0">
    <w:p w14:paraId="322FFE98" w14:textId="77777777" w:rsidR="00F74695" w:rsidRDefault="00F74695">
      <w:r>
        <w:continuationSeparator/>
      </w:r>
    </w:p>
  </w:footnote>
  <w:footnote w:type="continuationNotice" w:id="1">
    <w:p w14:paraId="14A5CF77" w14:textId="77777777" w:rsidR="00F74695" w:rsidRDefault="00F74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52FA" w14:textId="77777777" w:rsidR="00606E48" w:rsidRDefault="00606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1CD1" w14:textId="77777777" w:rsidR="00606E48" w:rsidRDefault="00606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CD9E" w14:textId="77777777" w:rsidR="00606E48" w:rsidRDefault="0060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164"/>
    <w:multiLevelType w:val="hybridMultilevel"/>
    <w:tmpl w:val="CF2A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71C85"/>
    <w:multiLevelType w:val="hybridMultilevel"/>
    <w:tmpl w:val="850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5C0587"/>
    <w:multiLevelType w:val="hybridMultilevel"/>
    <w:tmpl w:val="4D344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E22F2"/>
    <w:multiLevelType w:val="hybridMultilevel"/>
    <w:tmpl w:val="C620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E793B"/>
    <w:multiLevelType w:val="hybridMultilevel"/>
    <w:tmpl w:val="544C6C1E"/>
    <w:lvl w:ilvl="0" w:tplc="484E6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1764103">
    <w:abstractNumId w:val="3"/>
  </w:num>
  <w:num w:numId="2" w16cid:durableId="2063870527">
    <w:abstractNumId w:val="4"/>
  </w:num>
  <w:num w:numId="3" w16cid:durableId="1754858844">
    <w:abstractNumId w:val="2"/>
  </w:num>
  <w:num w:numId="4" w16cid:durableId="1743210184">
    <w:abstractNumId w:val="1"/>
  </w:num>
  <w:num w:numId="5" w16cid:durableId="197926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CF"/>
    <w:rsid w:val="00000889"/>
    <w:rsid w:val="000012E0"/>
    <w:rsid w:val="00004109"/>
    <w:rsid w:val="00004EF7"/>
    <w:rsid w:val="00010223"/>
    <w:rsid w:val="00020ACF"/>
    <w:rsid w:val="0002635D"/>
    <w:rsid w:val="000269D5"/>
    <w:rsid w:val="000302E7"/>
    <w:rsid w:val="000568A9"/>
    <w:rsid w:val="0007375D"/>
    <w:rsid w:val="000B47C2"/>
    <w:rsid w:val="000B537B"/>
    <w:rsid w:val="000E43BA"/>
    <w:rsid w:val="00111220"/>
    <w:rsid w:val="00122F84"/>
    <w:rsid w:val="00124638"/>
    <w:rsid w:val="00141E40"/>
    <w:rsid w:val="001473AA"/>
    <w:rsid w:val="0015641E"/>
    <w:rsid w:val="00157AC9"/>
    <w:rsid w:val="00163340"/>
    <w:rsid w:val="00163E9B"/>
    <w:rsid w:val="00175D3C"/>
    <w:rsid w:val="001A2B1A"/>
    <w:rsid w:val="001B343E"/>
    <w:rsid w:val="001C7CD4"/>
    <w:rsid w:val="001D083F"/>
    <w:rsid w:val="001D0E03"/>
    <w:rsid w:val="001D486A"/>
    <w:rsid w:val="001D534A"/>
    <w:rsid w:val="001E20D3"/>
    <w:rsid w:val="001E6D97"/>
    <w:rsid w:val="001F40DB"/>
    <w:rsid w:val="0020052E"/>
    <w:rsid w:val="00206705"/>
    <w:rsid w:val="00223D66"/>
    <w:rsid w:val="0022740F"/>
    <w:rsid w:val="00230FE7"/>
    <w:rsid w:val="00285EAD"/>
    <w:rsid w:val="00285F5C"/>
    <w:rsid w:val="002B7123"/>
    <w:rsid w:val="002D329E"/>
    <w:rsid w:val="002D4987"/>
    <w:rsid w:val="002F2A08"/>
    <w:rsid w:val="0030131E"/>
    <w:rsid w:val="00302562"/>
    <w:rsid w:val="00336A10"/>
    <w:rsid w:val="00340090"/>
    <w:rsid w:val="003414BA"/>
    <w:rsid w:val="00344576"/>
    <w:rsid w:val="00347A9A"/>
    <w:rsid w:val="00356727"/>
    <w:rsid w:val="00360651"/>
    <w:rsid w:val="00363131"/>
    <w:rsid w:val="00384276"/>
    <w:rsid w:val="00395330"/>
    <w:rsid w:val="003C2E46"/>
    <w:rsid w:val="003D6A34"/>
    <w:rsid w:val="003E09A3"/>
    <w:rsid w:val="003E5750"/>
    <w:rsid w:val="003F3002"/>
    <w:rsid w:val="0042041B"/>
    <w:rsid w:val="00423DC3"/>
    <w:rsid w:val="00447267"/>
    <w:rsid w:val="00454D4E"/>
    <w:rsid w:val="00472AF9"/>
    <w:rsid w:val="00485A65"/>
    <w:rsid w:val="0048789F"/>
    <w:rsid w:val="0049571D"/>
    <w:rsid w:val="004A00A9"/>
    <w:rsid w:val="004B0D78"/>
    <w:rsid w:val="004C55E0"/>
    <w:rsid w:val="004E0D02"/>
    <w:rsid w:val="004E5579"/>
    <w:rsid w:val="004F6848"/>
    <w:rsid w:val="0050036E"/>
    <w:rsid w:val="0054163C"/>
    <w:rsid w:val="005647E4"/>
    <w:rsid w:val="0059680E"/>
    <w:rsid w:val="005C4027"/>
    <w:rsid w:val="005C5979"/>
    <w:rsid w:val="005C6292"/>
    <w:rsid w:val="005D2361"/>
    <w:rsid w:val="005D4B39"/>
    <w:rsid w:val="005F564A"/>
    <w:rsid w:val="00601A17"/>
    <w:rsid w:val="00606E48"/>
    <w:rsid w:val="0062636D"/>
    <w:rsid w:val="006423E7"/>
    <w:rsid w:val="00642D0B"/>
    <w:rsid w:val="0064703A"/>
    <w:rsid w:val="00665537"/>
    <w:rsid w:val="006769BC"/>
    <w:rsid w:val="00680002"/>
    <w:rsid w:val="00692840"/>
    <w:rsid w:val="006B6A25"/>
    <w:rsid w:val="006C7DA5"/>
    <w:rsid w:val="006E46A7"/>
    <w:rsid w:val="006E60D1"/>
    <w:rsid w:val="006F5C34"/>
    <w:rsid w:val="00702410"/>
    <w:rsid w:val="007138B0"/>
    <w:rsid w:val="007225BD"/>
    <w:rsid w:val="007245CF"/>
    <w:rsid w:val="0072692D"/>
    <w:rsid w:val="007307EC"/>
    <w:rsid w:val="0075598F"/>
    <w:rsid w:val="007864CC"/>
    <w:rsid w:val="00787C2C"/>
    <w:rsid w:val="007A0E94"/>
    <w:rsid w:val="007A1926"/>
    <w:rsid w:val="007A28BF"/>
    <w:rsid w:val="007B106C"/>
    <w:rsid w:val="007C332C"/>
    <w:rsid w:val="007D093F"/>
    <w:rsid w:val="00816BC2"/>
    <w:rsid w:val="008231FD"/>
    <w:rsid w:val="0083433C"/>
    <w:rsid w:val="008446FC"/>
    <w:rsid w:val="00866A07"/>
    <w:rsid w:val="008906EE"/>
    <w:rsid w:val="00892661"/>
    <w:rsid w:val="008B0F61"/>
    <w:rsid w:val="008C53F6"/>
    <w:rsid w:val="008D07C1"/>
    <w:rsid w:val="008E7C18"/>
    <w:rsid w:val="008F7544"/>
    <w:rsid w:val="00914466"/>
    <w:rsid w:val="00922B3D"/>
    <w:rsid w:val="0092374D"/>
    <w:rsid w:val="009260C4"/>
    <w:rsid w:val="00964C4C"/>
    <w:rsid w:val="00967F85"/>
    <w:rsid w:val="009728D8"/>
    <w:rsid w:val="00974D6E"/>
    <w:rsid w:val="009953C7"/>
    <w:rsid w:val="009D28B2"/>
    <w:rsid w:val="009E0378"/>
    <w:rsid w:val="00A00351"/>
    <w:rsid w:val="00A025F4"/>
    <w:rsid w:val="00A07610"/>
    <w:rsid w:val="00A35CB3"/>
    <w:rsid w:val="00A50F81"/>
    <w:rsid w:val="00A73D48"/>
    <w:rsid w:val="00AD34E1"/>
    <w:rsid w:val="00AE6827"/>
    <w:rsid w:val="00AF0E6F"/>
    <w:rsid w:val="00AF5C21"/>
    <w:rsid w:val="00B150EB"/>
    <w:rsid w:val="00B15DFC"/>
    <w:rsid w:val="00B57888"/>
    <w:rsid w:val="00B71E63"/>
    <w:rsid w:val="00B86467"/>
    <w:rsid w:val="00BA0CE4"/>
    <w:rsid w:val="00BB50CB"/>
    <w:rsid w:val="00BB5365"/>
    <w:rsid w:val="00BB6DCD"/>
    <w:rsid w:val="00BB6E8F"/>
    <w:rsid w:val="00BE207A"/>
    <w:rsid w:val="00BE75AC"/>
    <w:rsid w:val="00C475B4"/>
    <w:rsid w:val="00C50F33"/>
    <w:rsid w:val="00C54B2B"/>
    <w:rsid w:val="00C56EFF"/>
    <w:rsid w:val="00C60EDF"/>
    <w:rsid w:val="00C65B15"/>
    <w:rsid w:val="00C72F8B"/>
    <w:rsid w:val="00C91ED0"/>
    <w:rsid w:val="00C92EF3"/>
    <w:rsid w:val="00CA0B7C"/>
    <w:rsid w:val="00CA1C98"/>
    <w:rsid w:val="00CB1609"/>
    <w:rsid w:val="00CD0720"/>
    <w:rsid w:val="00CD4F5A"/>
    <w:rsid w:val="00CE0514"/>
    <w:rsid w:val="00CE507E"/>
    <w:rsid w:val="00CE7BFF"/>
    <w:rsid w:val="00D0706A"/>
    <w:rsid w:val="00D07DE9"/>
    <w:rsid w:val="00D2756A"/>
    <w:rsid w:val="00D36B29"/>
    <w:rsid w:val="00D4258C"/>
    <w:rsid w:val="00D53E4C"/>
    <w:rsid w:val="00D65B84"/>
    <w:rsid w:val="00D744F8"/>
    <w:rsid w:val="00D82E9D"/>
    <w:rsid w:val="00D83245"/>
    <w:rsid w:val="00D966BC"/>
    <w:rsid w:val="00DA3E51"/>
    <w:rsid w:val="00DD1667"/>
    <w:rsid w:val="00E021B3"/>
    <w:rsid w:val="00E22675"/>
    <w:rsid w:val="00E23063"/>
    <w:rsid w:val="00E508DD"/>
    <w:rsid w:val="00E80FF8"/>
    <w:rsid w:val="00E84F38"/>
    <w:rsid w:val="00E86730"/>
    <w:rsid w:val="00EE0A76"/>
    <w:rsid w:val="00EE0D6C"/>
    <w:rsid w:val="00EE2790"/>
    <w:rsid w:val="00F107A4"/>
    <w:rsid w:val="00F14B0E"/>
    <w:rsid w:val="00F2405B"/>
    <w:rsid w:val="00F30425"/>
    <w:rsid w:val="00F3046C"/>
    <w:rsid w:val="00F44766"/>
    <w:rsid w:val="00F57BE3"/>
    <w:rsid w:val="00F57DC8"/>
    <w:rsid w:val="00F638BC"/>
    <w:rsid w:val="00F638CF"/>
    <w:rsid w:val="00F63CED"/>
    <w:rsid w:val="00F74695"/>
    <w:rsid w:val="00F97B8C"/>
    <w:rsid w:val="00FB331E"/>
    <w:rsid w:val="00FC067F"/>
    <w:rsid w:val="00FE1048"/>
    <w:rsid w:val="00FE1545"/>
    <w:rsid w:val="00FF73B1"/>
    <w:rsid w:val="5FE7F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1867A"/>
  <w15:chartTrackingRefBased/>
  <w15:docId w15:val="{6A721175-A134-40F9-8878-131EA2DA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05B"/>
    <w:pPr>
      <w:overflowPunct w:val="0"/>
      <w:autoSpaceDE w:val="0"/>
      <w:autoSpaceDN w:val="0"/>
      <w:adjustRightInd w:val="0"/>
      <w:textAlignment w:val="baseline"/>
    </w:pPr>
    <w:rPr>
      <w:sz w:val="24"/>
    </w:rPr>
  </w:style>
  <w:style w:type="paragraph" w:styleId="Heading1">
    <w:name w:val="heading 1"/>
    <w:basedOn w:val="Normal"/>
    <w:next w:val="Normal"/>
    <w:qFormat/>
    <w:rsid w:val="00454D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40F"/>
    <w:pPr>
      <w:ind w:left="720"/>
    </w:pPr>
  </w:style>
  <w:style w:type="paragraph" w:styleId="BalloonText">
    <w:name w:val="Balloon Text"/>
    <w:basedOn w:val="Normal"/>
    <w:link w:val="BalloonTextChar"/>
    <w:rsid w:val="0007375D"/>
    <w:rPr>
      <w:rFonts w:ascii="Tahoma" w:hAnsi="Tahoma" w:cs="Tahoma"/>
      <w:sz w:val="16"/>
      <w:szCs w:val="16"/>
    </w:rPr>
  </w:style>
  <w:style w:type="character" w:customStyle="1" w:styleId="BalloonTextChar">
    <w:name w:val="Balloon Text Char"/>
    <w:link w:val="BalloonText"/>
    <w:rsid w:val="0007375D"/>
    <w:rPr>
      <w:rFonts w:ascii="Tahoma" w:hAnsi="Tahoma" w:cs="Tahoma"/>
      <w:sz w:val="16"/>
      <w:szCs w:val="16"/>
    </w:rPr>
  </w:style>
  <w:style w:type="character" w:styleId="CommentReference">
    <w:name w:val="annotation reference"/>
    <w:rsid w:val="00000889"/>
    <w:rPr>
      <w:sz w:val="16"/>
      <w:szCs w:val="16"/>
    </w:rPr>
  </w:style>
  <w:style w:type="paragraph" w:styleId="CommentText">
    <w:name w:val="annotation text"/>
    <w:basedOn w:val="Normal"/>
    <w:link w:val="CommentTextChar"/>
    <w:rsid w:val="00000889"/>
  </w:style>
  <w:style w:type="character" w:customStyle="1" w:styleId="CommentTextChar">
    <w:name w:val="Comment Text Char"/>
    <w:basedOn w:val="DefaultParagraphFont"/>
    <w:link w:val="CommentText"/>
    <w:rsid w:val="00000889"/>
  </w:style>
  <w:style w:type="paragraph" w:styleId="CommentSubject">
    <w:name w:val="annotation subject"/>
    <w:basedOn w:val="CommentText"/>
    <w:next w:val="CommentText"/>
    <w:link w:val="CommentSubjectChar"/>
    <w:rsid w:val="00000889"/>
    <w:rPr>
      <w:b/>
      <w:bCs/>
    </w:rPr>
  </w:style>
  <w:style w:type="character" w:customStyle="1" w:styleId="CommentSubjectChar">
    <w:name w:val="Comment Subject Char"/>
    <w:link w:val="CommentSubject"/>
    <w:rsid w:val="00000889"/>
    <w:rPr>
      <w:b/>
      <w:bCs/>
    </w:rPr>
  </w:style>
  <w:style w:type="paragraph" w:styleId="Subtitle">
    <w:name w:val="Subtitle"/>
    <w:basedOn w:val="Normal"/>
    <w:next w:val="Normal"/>
    <w:link w:val="SubtitleChar"/>
    <w:qFormat/>
    <w:rsid w:val="0062636D"/>
    <w:pPr>
      <w:outlineLvl w:val="1"/>
    </w:pPr>
    <w:rPr>
      <w:szCs w:val="24"/>
      <w:u w:val="single"/>
    </w:rPr>
  </w:style>
  <w:style w:type="character" w:customStyle="1" w:styleId="SubtitleChar">
    <w:name w:val="Subtitle Char"/>
    <w:link w:val="Subtitle"/>
    <w:rsid w:val="0062636D"/>
    <w:rPr>
      <w:rFonts w:eastAsia="Times New Roman" w:cs="Times New Roman"/>
      <w:sz w:val="24"/>
      <w:szCs w:val="24"/>
      <w:u w:val="single"/>
    </w:rPr>
  </w:style>
  <w:style w:type="paragraph" w:styleId="Revision">
    <w:name w:val="Revision"/>
    <w:hidden/>
    <w:uiPriority w:val="99"/>
    <w:semiHidden/>
    <w:rsid w:val="00E867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 w:id="1861385203">
      <w:bodyDiv w:val="1"/>
      <w:marLeft w:val="0"/>
      <w:marRight w:val="0"/>
      <w:marTop w:val="0"/>
      <w:marBottom w:val="0"/>
      <w:divBdr>
        <w:top w:val="none" w:sz="0" w:space="0" w:color="auto"/>
        <w:left w:val="none" w:sz="0" w:space="0" w:color="auto"/>
        <w:bottom w:val="none" w:sz="0" w:space="0" w:color="auto"/>
        <w:right w:val="none" w:sz="0" w:space="0" w:color="auto"/>
      </w:divBdr>
    </w:div>
    <w:div w:id="20082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9DD5D-9481-4425-9A12-C448ADFEC9C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2D2F14DC-86D4-4AA4-98E8-F68F9A28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39060-4AA3-41B5-894A-C70E7616B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733</Words>
  <Characters>4247</Characters>
  <Application>Microsoft Office Word</Application>
  <DocSecurity>0</DocSecurity>
  <Lines>35</Lines>
  <Paragraphs>9</Paragraphs>
  <ScaleCrop>false</ScaleCrop>
  <Company>MSBA</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68</cp:revision>
  <cp:lastPrinted>2004-01-21T16:37:00Z</cp:lastPrinted>
  <dcterms:created xsi:type="dcterms:W3CDTF">2020-04-15T13:57:00Z</dcterms:created>
  <dcterms:modified xsi:type="dcterms:W3CDTF">2025-07-01T21:39:00Z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264200</vt:r8>
  </property>
  <property fmtid="{D5CDD505-2E9C-101B-9397-08002B2CF9AE}" pid="4" name="MediaServiceImageTags">
    <vt:lpwstr/>
  </property>
</Properties>
</file>