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3A217" w14:textId="5CC11BD1" w:rsidR="005647E4" w:rsidRPr="00A46CBF" w:rsidRDefault="00D269A2" w:rsidP="00837C5D">
      <w:pPr>
        <w:rPr>
          <w:b/>
          <w:szCs w:val="24"/>
        </w:rPr>
      </w:pPr>
      <w:r w:rsidRPr="00A46CBF">
        <w:rPr>
          <w:b/>
          <w:szCs w:val="24"/>
        </w:rPr>
        <w:t>Bruneau-Grand View Joint School District #365</w:t>
      </w:r>
    </w:p>
    <w:p w14:paraId="00DE2BD1" w14:textId="77777777" w:rsidR="003E09A3" w:rsidRPr="00A46CBF" w:rsidRDefault="003E09A3" w:rsidP="00837C5D">
      <w:pPr>
        <w:rPr>
          <w:b/>
          <w:szCs w:val="24"/>
        </w:rPr>
      </w:pPr>
    </w:p>
    <w:p w14:paraId="6643B422" w14:textId="77777777" w:rsidR="00356727" w:rsidRPr="006D6798" w:rsidRDefault="00356727" w:rsidP="00837C5D">
      <w:pPr>
        <w:tabs>
          <w:tab w:val="right" w:pos="9360"/>
        </w:tabs>
        <w:rPr>
          <w:szCs w:val="24"/>
        </w:rPr>
      </w:pPr>
      <w:r w:rsidRPr="00A46CBF">
        <w:rPr>
          <w:b/>
          <w:szCs w:val="24"/>
        </w:rPr>
        <w:t>FINANCIAL MANAGEMENT</w:t>
      </w:r>
      <w:r w:rsidRPr="00A46CBF">
        <w:rPr>
          <w:b/>
          <w:szCs w:val="24"/>
        </w:rPr>
        <w:tab/>
      </w:r>
      <w:r w:rsidR="002C3E58" w:rsidRPr="00A46CBF">
        <w:rPr>
          <w:b/>
          <w:szCs w:val="24"/>
        </w:rPr>
        <w:t>745</w:t>
      </w:r>
      <w:r w:rsidRPr="00A46CBF">
        <w:rPr>
          <w:b/>
          <w:szCs w:val="24"/>
        </w:rPr>
        <w:t>0</w:t>
      </w:r>
      <w:r w:rsidR="000A0ACB" w:rsidRPr="00A46CBF">
        <w:rPr>
          <w:b/>
          <w:szCs w:val="24"/>
        </w:rPr>
        <w:t>P1</w:t>
      </w:r>
    </w:p>
    <w:p w14:paraId="4E6279EF" w14:textId="77777777" w:rsidR="007245CF" w:rsidRPr="006D6798" w:rsidRDefault="007245CF" w:rsidP="00837C5D">
      <w:pPr>
        <w:rPr>
          <w:szCs w:val="24"/>
          <w:u w:val="single"/>
        </w:rPr>
      </w:pPr>
    </w:p>
    <w:p w14:paraId="32EC9540" w14:textId="77777777" w:rsidR="003E09A3" w:rsidRPr="006D6798" w:rsidRDefault="00316A34" w:rsidP="00837C5D">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rPr>
          <w:color w:val="auto"/>
          <w:szCs w:val="24"/>
        </w:rPr>
      </w:pPr>
      <w:r w:rsidRPr="006D6798">
        <w:rPr>
          <w:color w:val="auto"/>
          <w:szCs w:val="24"/>
        </w:rPr>
        <w:t>Timely Obligation of Funds</w:t>
      </w:r>
    </w:p>
    <w:p w14:paraId="39268068" w14:textId="77777777" w:rsidR="003E09A3" w:rsidRPr="006D6798" w:rsidRDefault="003E09A3" w:rsidP="00837C5D">
      <w:pPr>
        <w:rPr>
          <w:szCs w:val="24"/>
          <w:u w:val="single"/>
        </w:rPr>
      </w:pPr>
    </w:p>
    <w:p w14:paraId="1518EC8D" w14:textId="77777777" w:rsidR="00316A34" w:rsidRPr="006D6798" w:rsidRDefault="00316A34" w:rsidP="00837C5D">
      <w:pPr>
        <w:pStyle w:val="Subtitle"/>
      </w:pPr>
      <w:r w:rsidRPr="006D6798">
        <w:t>When Obligations are Made</w:t>
      </w:r>
    </w:p>
    <w:p w14:paraId="78379DBC" w14:textId="77777777" w:rsidR="00316A34" w:rsidRPr="006D6798" w:rsidRDefault="00316A34" w:rsidP="00837C5D">
      <w:pPr>
        <w:rPr>
          <w:szCs w:val="24"/>
        </w:rPr>
      </w:pPr>
    </w:p>
    <w:p w14:paraId="08AB1E33" w14:textId="77777777" w:rsidR="00316A34" w:rsidRPr="006D6798" w:rsidRDefault="00316A34" w:rsidP="00837C5D">
      <w:pPr>
        <w:rPr>
          <w:szCs w:val="24"/>
        </w:rPr>
      </w:pPr>
      <w:r w:rsidRPr="006D6798">
        <w:rPr>
          <w:szCs w:val="24"/>
        </w:rPr>
        <w:t>Obligations are orders placed for property and services, contracts</w:t>
      </w:r>
      <w:r w:rsidR="00995B86" w:rsidRPr="006D6798">
        <w:rPr>
          <w:szCs w:val="24"/>
        </w:rPr>
        <w:t>,</w:t>
      </w:r>
      <w:r w:rsidRPr="006D6798">
        <w:rPr>
          <w:szCs w:val="24"/>
        </w:rPr>
        <w:t xml:space="preserve"> and subawards made, and similar transactions during a given period that require payment by the </w:t>
      </w:r>
      <w:proofErr w:type="gramStart"/>
      <w:r w:rsidRPr="006D6798">
        <w:rPr>
          <w:szCs w:val="24"/>
        </w:rPr>
        <w:t>District</w:t>
      </w:r>
      <w:proofErr w:type="gramEnd"/>
      <w:r w:rsidRPr="006D6798">
        <w:rPr>
          <w:szCs w:val="24"/>
        </w:rPr>
        <w:t xml:space="preserve"> duri</w:t>
      </w:r>
      <w:r w:rsidR="00995B86" w:rsidRPr="006D6798">
        <w:rPr>
          <w:szCs w:val="24"/>
        </w:rPr>
        <w:t>ng the same or a future period.</w:t>
      </w:r>
    </w:p>
    <w:p w14:paraId="27B24965" w14:textId="77777777" w:rsidR="00316A34" w:rsidRPr="006D6798" w:rsidRDefault="00316A34" w:rsidP="00837C5D">
      <w:pPr>
        <w:rPr>
          <w:szCs w:val="24"/>
        </w:rPr>
      </w:pPr>
    </w:p>
    <w:p w14:paraId="7DB66A60" w14:textId="3645464C" w:rsidR="00743D84" w:rsidRPr="006D6798" w:rsidRDefault="00C41AFD" w:rsidP="00837C5D">
      <w:pPr>
        <w:rPr>
          <w:szCs w:val="24"/>
        </w:rPr>
      </w:pPr>
      <w:r w:rsidRPr="006D6798">
        <w:rPr>
          <w:color w:val="000000"/>
        </w:rPr>
        <w:t xml:space="preserve">Funds received under a federal grant shall </w:t>
      </w:r>
      <w:proofErr w:type="gramStart"/>
      <w:r w:rsidRPr="006D6798">
        <w:rPr>
          <w:color w:val="000000"/>
        </w:rPr>
        <w:t>be considered to be</w:t>
      </w:r>
      <w:proofErr w:type="gramEnd"/>
      <w:r w:rsidRPr="006D6798">
        <w:rPr>
          <w:color w:val="000000"/>
        </w:rPr>
        <w:t xml:space="preserve"> obligated according to the standards provided in 34 CFR § 75.707 or 34 C</w:t>
      </w:r>
      <w:r w:rsidR="004D5A2A">
        <w:rPr>
          <w:color w:val="000000"/>
        </w:rPr>
        <w:t>F</w:t>
      </w:r>
      <w:r w:rsidRPr="006D6798">
        <w:rPr>
          <w:color w:val="000000"/>
        </w:rPr>
        <w:t xml:space="preserve">R § 76.707, as applicable. </w:t>
      </w:r>
      <w:r w:rsidR="00316A34" w:rsidRPr="006D6798">
        <w:rPr>
          <w:szCs w:val="24"/>
        </w:rPr>
        <w:t>The following table illustrates when funds are determined to be obligated under federal regulations:</w:t>
      </w:r>
    </w:p>
    <w:p w14:paraId="5A1BD80A" w14:textId="77777777" w:rsidR="00316A34" w:rsidRPr="006D6798" w:rsidRDefault="00316A34" w:rsidP="00837C5D">
      <w:pPr>
        <w:rPr>
          <w:szCs w:val="24"/>
        </w:rPr>
      </w:pPr>
    </w:p>
    <w:tbl>
      <w:tblPr>
        <w:tblW w:w="89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050"/>
        <w:gridCol w:w="3870"/>
      </w:tblGrid>
      <w:tr w:rsidR="00316A34" w:rsidRPr="006D6798" w14:paraId="53943B99" w14:textId="77777777" w:rsidTr="00316A34">
        <w:tc>
          <w:tcPr>
            <w:tcW w:w="5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BD883" w14:textId="77777777" w:rsidR="00316A34" w:rsidRPr="006D6798" w:rsidRDefault="00316A34" w:rsidP="00837C5D">
            <w:pPr>
              <w:ind w:left="100"/>
              <w:rPr>
                <w:szCs w:val="24"/>
              </w:rPr>
            </w:pPr>
            <w:r w:rsidRPr="006D6798">
              <w:rPr>
                <w:b/>
                <w:szCs w:val="24"/>
              </w:rPr>
              <w:t>If the obligation is for:</w:t>
            </w:r>
          </w:p>
        </w:tc>
        <w:tc>
          <w:tcPr>
            <w:tcW w:w="38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7EE147A" w14:textId="77777777" w:rsidR="00316A34" w:rsidRPr="006D6798" w:rsidRDefault="00316A34" w:rsidP="00837C5D">
            <w:pPr>
              <w:ind w:left="100"/>
              <w:rPr>
                <w:szCs w:val="24"/>
              </w:rPr>
            </w:pPr>
            <w:r w:rsidRPr="006D6798">
              <w:rPr>
                <w:b/>
                <w:szCs w:val="24"/>
              </w:rPr>
              <w:t>The obligation is made:</w:t>
            </w:r>
          </w:p>
        </w:tc>
      </w:tr>
      <w:tr w:rsidR="00316A34" w:rsidRPr="006D6798" w14:paraId="365C4F4E" w14:textId="77777777" w:rsidTr="00316A34">
        <w:tc>
          <w:tcPr>
            <w:tcW w:w="50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BF4E05" w14:textId="77777777" w:rsidR="00316A34" w:rsidRPr="006D6798" w:rsidRDefault="00316A34" w:rsidP="00837C5D">
            <w:pPr>
              <w:ind w:left="100"/>
              <w:rPr>
                <w:szCs w:val="24"/>
              </w:rPr>
            </w:pPr>
            <w:r w:rsidRPr="006D6798">
              <w:rPr>
                <w:szCs w:val="24"/>
              </w:rPr>
              <w:t>Acquisition of property</w:t>
            </w:r>
          </w:p>
        </w:tc>
        <w:tc>
          <w:tcPr>
            <w:tcW w:w="3870" w:type="dxa"/>
            <w:tcBorders>
              <w:bottom w:val="single" w:sz="8" w:space="0" w:color="000000"/>
              <w:right w:val="single" w:sz="8" w:space="0" w:color="000000"/>
            </w:tcBorders>
            <w:tcMar>
              <w:top w:w="100" w:type="dxa"/>
              <w:left w:w="100" w:type="dxa"/>
              <w:bottom w:w="100" w:type="dxa"/>
              <w:right w:w="100" w:type="dxa"/>
            </w:tcMar>
          </w:tcPr>
          <w:p w14:paraId="5E21162B" w14:textId="77777777" w:rsidR="00316A34" w:rsidRPr="006D6798" w:rsidRDefault="00316A34" w:rsidP="00837C5D">
            <w:pPr>
              <w:ind w:left="100"/>
              <w:rPr>
                <w:szCs w:val="24"/>
              </w:rPr>
            </w:pPr>
            <w:r w:rsidRPr="006D6798">
              <w:rPr>
                <w:szCs w:val="24"/>
              </w:rPr>
              <w:t xml:space="preserve">On the date on which the </w:t>
            </w:r>
            <w:proofErr w:type="gramStart"/>
            <w:r w:rsidRPr="006D6798">
              <w:rPr>
                <w:szCs w:val="24"/>
              </w:rPr>
              <w:t>District</w:t>
            </w:r>
            <w:proofErr w:type="gramEnd"/>
            <w:r w:rsidRPr="006D6798">
              <w:rPr>
                <w:szCs w:val="24"/>
              </w:rPr>
              <w:t xml:space="preserve"> makes a binding written commitment to acquire the property</w:t>
            </w:r>
          </w:p>
        </w:tc>
      </w:tr>
      <w:tr w:rsidR="00316A34" w:rsidRPr="006D6798" w14:paraId="21FC60D1" w14:textId="77777777" w:rsidTr="00316A34">
        <w:tc>
          <w:tcPr>
            <w:tcW w:w="50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5B3B74" w14:textId="77777777" w:rsidR="00316A34" w:rsidRPr="006D6798" w:rsidRDefault="00316A34" w:rsidP="00837C5D">
            <w:pPr>
              <w:ind w:left="100"/>
              <w:rPr>
                <w:szCs w:val="24"/>
              </w:rPr>
            </w:pPr>
            <w:r w:rsidRPr="006D6798">
              <w:rPr>
                <w:szCs w:val="24"/>
              </w:rPr>
              <w:t xml:space="preserve">Personal services by an employee of the </w:t>
            </w:r>
            <w:proofErr w:type="gramStart"/>
            <w:r w:rsidRPr="006D6798">
              <w:rPr>
                <w:szCs w:val="24"/>
              </w:rPr>
              <w:t>District</w:t>
            </w:r>
            <w:proofErr w:type="gramEnd"/>
          </w:p>
          <w:p w14:paraId="5D049BFE" w14:textId="77777777" w:rsidR="00316A34" w:rsidRPr="006D6798" w:rsidRDefault="00316A34" w:rsidP="00837C5D">
            <w:pPr>
              <w:ind w:left="100"/>
              <w:rPr>
                <w:szCs w:val="24"/>
              </w:rPr>
            </w:pPr>
          </w:p>
        </w:tc>
        <w:tc>
          <w:tcPr>
            <w:tcW w:w="3870" w:type="dxa"/>
            <w:tcBorders>
              <w:bottom w:val="single" w:sz="8" w:space="0" w:color="000000"/>
              <w:right w:val="single" w:sz="8" w:space="0" w:color="000000"/>
            </w:tcBorders>
            <w:tcMar>
              <w:top w:w="100" w:type="dxa"/>
              <w:left w:w="100" w:type="dxa"/>
              <w:bottom w:w="100" w:type="dxa"/>
              <w:right w:w="100" w:type="dxa"/>
            </w:tcMar>
          </w:tcPr>
          <w:p w14:paraId="14E14AB9" w14:textId="77777777" w:rsidR="00316A34" w:rsidRPr="006D6798" w:rsidRDefault="00316A34" w:rsidP="00837C5D">
            <w:pPr>
              <w:ind w:left="100"/>
              <w:rPr>
                <w:szCs w:val="24"/>
              </w:rPr>
            </w:pPr>
            <w:r w:rsidRPr="006D6798">
              <w:rPr>
                <w:szCs w:val="24"/>
              </w:rPr>
              <w:t>When the services are performed</w:t>
            </w:r>
          </w:p>
        </w:tc>
      </w:tr>
      <w:tr w:rsidR="00316A34" w:rsidRPr="006D6798" w14:paraId="49F44E16" w14:textId="77777777" w:rsidTr="00316A34">
        <w:tc>
          <w:tcPr>
            <w:tcW w:w="50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1B01F2" w14:textId="77777777" w:rsidR="00316A34" w:rsidRPr="006D6798" w:rsidRDefault="00316A34" w:rsidP="00837C5D">
            <w:pPr>
              <w:ind w:left="100"/>
              <w:rPr>
                <w:szCs w:val="24"/>
              </w:rPr>
            </w:pPr>
            <w:r w:rsidRPr="006D6798">
              <w:rPr>
                <w:szCs w:val="24"/>
              </w:rPr>
              <w:t xml:space="preserve">Personal services by a contractor who is not an employee of the </w:t>
            </w:r>
            <w:proofErr w:type="gramStart"/>
            <w:r w:rsidRPr="006D6798">
              <w:rPr>
                <w:szCs w:val="24"/>
              </w:rPr>
              <w:t>District</w:t>
            </w:r>
            <w:proofErr w:type="gramEnd"/>
          </w:p>
        </w:tc>
        <w:tc>
          <w:tcPr>
            <w:tcW w:w="3870" w:type="dxa"/>
            <w:tcBorders>
              <w:bottom w:val="single" w:sz="8" w:space="0" w:color="000000"/>
              <w:right w:val="single" w:sz="8" w:space="0" w:color="000000"/>
            </w:tcBorders>
            <w:tcMar>
              <w:top w:w="100" w:type="dxa"/>
              <w:left w:w="100" w:type="dxa"/>
              <w:bottom w:w="100" w:type="dxa"/>
              <w:right w:w="100" w:type="dxa"/>
            </w:tcMar>
          </w:tcPr>
          <w:p w14:paraId="2926A0D2" w14:textId="77777777" w:rsidR="00316A34" w:rsidRPr="006D6798" w:rsidRDefault="00316A34" w:rsidP="00837C5D">
            <w:pPr>
              <w:ind w:left="100"/>
              <w:rPr>
                <w:szCs w:val="24"/>
              </w:rPr>
            </w:pPr>
            <w:r w:rsidRPr="006D6798">
              <w:rPr>
                <w:szCs w:val="24"/>
              </w:rPr>
              <w:t xml:space="preserve">On the </w:t>
            </w:r>
            <w:proofErr w:type="gramStart"/>
            <w:r w:rsidRPr="006D6798">
              <w:rPr>
                <w:szCs w:val="24"/>
              </w:rPr>
              <w:t>date</w:t>
            </w:r>
            <w:proofErr w:type="gramEnd"/>
            <w:r w:rsidRPr="006D6798">
              <w:rPr>
                <w:szCs w:val="24"/>
              </w:rPr>
              <w:t xml:space="preserve"> which the </w:t>
            </w:r>
            <w:proofErr w:type="gramStart"/>
            <w:r w:rsidRPr="006D6798">
              <w:rPr>
                <w:szCs w:val="24"/>
              </w:rPr>
              <w:t>District</w:t>
            </w:r>
            <w:proofErr w:type="gramEnd"/>
            <w:r w:rsidRPr="006D6798">
              <w:rPr>
                <w:szCs w:val="24"/>
              </w:rPr>
              <w:t xml:space="preserve"> makes a binding written commitment to obtain the services</w:t>
            </w:r>
          </w:p>
        </w:tc>
      </w:tr>
      <w:tr w:rsidR="00316A34" w:rsidRPr="006D6798" w14:paraId="2BED8CB7" w14:textId="77777777" w:rsidTr="00316A34">
        <w:tc>
          <w:tcPr>
            <w:tcW w:w="50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C648BDE" w14:textId="77777777" w:rsidR="00316A34" w:rsidRPr="006D6798" w:rsidRDefault="00316A34" w:rsidP="00837C5D">
            <w:pPr>
              <w:ind w:left="100"/>
              <w:rPr>
                <w:szCs w:val="24"/>
              </w:rPr>
            </w:pPr>
            <w:r w:rsidRPr="006D6798">
              <w:rPr>
                <w:szCs w:val="24"/>
              </w:rPr>
              <w:t>Public utility services</w:t>
            </w:r>
          </w:p>
        </w:tc>
        <w:tc>
          <w:tcPr>
            <w:tcW w:w="3870" w:type="dxa"/>
            <w:tcBorders>
              <w:bottom w:val="single" w:sz="8" w:space="0" w:color="000000"/>
              <w:right w:val="single" w:sz="8" w:space="0" w:color="000000"/>
            </w:tcBorders>
            <w:tcMar>
              <w:top w:w="100" w:type="dxa"/>
              <w:left w:w="100" w:type="dxa"/>
              <w:bottom w:w="100" w:type="dxa"/>
              <w:right w:w="100" w:type="dxa"/>
            </w:tcMar>
          </w:tcPr>
          <w:p w14:paraId="7856905F" w14:textId="77777777" w:rsidR="00316A34" w:rsidRPr="006D6798" w:rsidRDefault="00316A34" w:rsidP="00837C5D">
            <w:pPr>
              <w:ind w:left="100"/>
              <w:rPr>
                <w:szCs w:val="24"/>
              </w:rPr>
            </w:pPr>
            <w:r w:rsidRPr="006D6798">
              <w:rPr>
                <w:szCs w:val="24"/>
              </w:rPr>
              <w:t>When the District receives the services</w:t>
            </w:r>
          </w:p>
        </w:tc>
      </w:tr>
      <w:tr w:rsidR="00316A34" w:rsidRPr="006D6798" w14:paraId="44DB5D11" w14:textId="77777777" w:rsidTr="00316A34">
        <w:tc>
          <w:tcPr>
            <w:tcW w:w="50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3C1A3A" w14:textId="77777777" w:rsidR="00316A34" w:rsidRPr="006D6798" w:rsidRDefault="00316A34" w:rsidP="00837C5D">
            <w:pPr>
              <w:ind w:left="100"/>
              <w:rPr>
                <w:szCs w:val="24"/>
              </w:rPr>
            </w:pPr>
            <w:r w:rsidRPr="006D6798">
              <w:rPr>
                <w:szCs w:val="24"/>
              </w:rPr>
              <w:t>Travel</w:t>
            </w:r>
          </w:p>
        </w:tc>
        <w:tc>
          <w:tcPr>
            <w:tcW w:w="3870" w:type="dxa"/>
            <w:tcBorders>
              <w:bottom w:val="single" w:sz="8" w:space="0" w:color="000000"/>
              <w:right w:val="single" w:sz="8" w:space="0" w:color="000000"/>
            </w:tcBorders>
            <w:tcMar>
              <w:top w:w="100" w:type="dxa"/>
              <w:left w:w="100" w:type="dxa"/>
              <w:bottom w:w="100" w:type="dxa"/>
              <w:right w:w="100" w:type="dxa"/>
            </w:tcMar>
          </w:tcPr>
          <w:p w14:paraId="43C7036E" w14:textId="77777777" w:rsidR="00316A34" w:rsidRPr="006D6798" w:rsidRDefault="00316A34" w:rsidP="00837C5D">
            <w:pPr>
              <w:ind w:left="100"/>
              <w:rPr>
                <w:szCs w:val="24"/>
              </w:rPr>
            </w:pPr>
            <w:r w:rsidRPr="006D6798">
              <w:rPr>
                <w:szCs w:val="24"/>
              </w:rPr>
              <w:t xml:space="preserve">When the </w:t>
            </w:r>
            <w:proofErr w:type="gramStart"/>
            <w:r w:rsidRPr="006D6798">
              <w:rPr>
                <w:szCs w:val="24"/>
              </w:rPr>
              <w:t>travel</w:t>
            </w:r>
            <w:proofErr w:type="gramEnd"/>
            <w:r w:rsidRPr="006D6798">
              <w:rPr>
                <w:szCs w:val="24"/>
              </w:rPr>
              <w:t xml:space="preserve"> is taken</w:t>
            </w:r>
          </w:p>
        </w:tc>
      </w:tr>
      <w:tr w:rsidR="00316A34" w:rsidRPr="006D6798" w14:paraId="2FD3B906" w14:textId="77777777" w:rsidTr="00316A34">
        <w:tc>
          <w:tcPr>
            <w:tcW w:w="50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8E214E" w14:textId="77777777" w:rsidR="00316A34" w:rsidRPr="006D6798" w:rsidRDefault="00316A34" w:rsidP="00837C5D">
            <w:pPr>
              <w:ind w:left="100"/>
              <w:rPr>
                <w:szCs w:val="24"/>
              </w:rPr>
            </w:pPr>
            <w:r w:rsidRPr="006D6798">
              <w:rPr>
                <w:szCs w:val="24"/>
              </w:rPr>
              <w:t>Rental of property</w:t>
            </w:r>
          </w:p>
        </w:tc>
        <w:tc>
          <w:tcPr>
            <w:tcW w:w="3870" w:type="dxa"/>
            <w:tcBorders>
              <w:bottom w:val="single" w:sz="8" w:space="0" w:color="000000"/>
              <w:right w:val="single" w:sz="8" w:space="0" w:color="000000"/>
            </w:tcBorders>
            <w:tcMar>
              <w:top w:w="100" w:type="dxa"/>
              <w:left w:w="100" w:type="dxa"/>
              <w:bottom w:w="100" w:type="dxa"/>
              <w:right w:w="100" w:type="dxa"/>
            </w:tcMar>
          </w:tcPr>
          <w:p w14:paraId="1DA075CB" w14:textId="77777777" w:rsidR="00316A34" w:rsidRPr="006D6798" w:rsidRDefault="00316A34" w:rsidP="00837C5D">
            <w:pPr>
              <w:ind w:left="100"/>
              <w:rPr>
                <w:szCs w:val="24"/>
              </w:rPr>
            </w:pPr>
            <w:r w:rsidRPr="006D6798">
              <w:rPr>
                <w:szCs w:val="24"/>
              </w:rPr>
              <w:t>When the District uses the property</w:t>
            </w:r>
          </w:p>
        </w:tc>
      </w:tr>
      <w:tr w:rsidR="00316A34" w:rsidRPr="006D6798" w14:paraId="192297D5" w14:textId="77777777" w:rsidTr="00316A34">
        <w:tc>
          <w:tcPr>
            <w:tcW w:w="50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86DF192" w14:textId="77777777" w:rsidR="00316A34" w:rsidRPr="006D6798" w:rsidRDefault="00316A34" w:rsidP="00837C5D">
            <w:pPr>
              <w:ind w:left="100"/>
              <w:rPr>
                <w:szCs w:val="24"/>
              </w:rPr>
            </w:pPr>
            <w:r w:rsidRPr="006D6798">
              <w:rPr>
                <w:szCs w:val="24"/>
              </w:rPr>
              <w:t>A pre-agreement cost that was properly approved by the Secretary under the cost principles in 2 CFR part 200, Subpart E- Cost Principles.</w:t>
            </w:r>
          </w:p>
        </w:tc>
        <w:tc>
          <w:tcPr>
            <w:tcW w:w="3870" w:type="dxa"/>
            <w:tcBorders>
              <w:bottom w:val="single" w:sz="8" w:space="0" w:color="000000"/>
              <w:right w:val="single" w:sz="8" w:space="0" w:color="000000"/>
            </w:tcBorders>
            <w:tcMar>
              <w:top w:w="100" w:type="dxa"/>
              <w:left w:w="100" w:type="dxa"/>
              <w:bottom w:w="100" w:type="dxa"/>
              <w:right w:w="100" w:type="dxa"/>
            </w:tcMar>
          </w:tcPr>
          <w:p w14:paraId="5CD95870" w14:textId="77777777" w:rsidR="00316A34" w:rsidRPr="006D6798" w:rsidRDefault="00316A34" w:rsidP="00837C5D">
            <w:pPr>
              <w:ind w:left="100"/>
              <w:rPr>
                <w:szCs w:val="24"/>
              </w:rPr>
            </w:pPr>
            <w:r w:rsidRPr="006D6798">
              <w:rPr>
                <w:szCs w:val="24"/>
              </w:rPr>
              <w:t>On the first day of the project period.</w:t>
            </w:r>
          </w:p>
        </w:tc>
      </w:tr>
    </w:tbl>
    <w:p w14:paraId="5F27835E" w14:textId="77777777" w:rsidR="00316A34" w:rsidRPr="006D6798" w:rsidRDefault="00316A34" w:rsidP="00837C5D">
      <w:pPr>
        <w:rPr>
          <w:szCs w:val="24"/>
        </w:rPr>
      </w:pPr>
    </w:p>
    <w:p w14:paraId="09E7A7CF" w14:textId="77777777" w:rsidR="00316A34" w:rsidRPr="006D6798" w:rsidRDefault="00316A34" w:rsidP="00837C5D">
      <w:pPr>
        <w:rPr>
          <w:szCs w:val="24"/>
        </w:rPr>
      </w:pPr>
    </w:p>
    <w:p w14:paraId="171D70F1" w14:textId="77777777" w:rsidR="00316A34" w:rsidRPr="006D6798" w:rsidRDefault="00316A34" w:rsidP="00837C5D">
      <w:pPr>
        <w:pStyle w:val="Subtitle"/>
      </w:pPr>
      <w:r w:rsidRPr="006D6798">
        <w:t>Period of Performance of Federal Funds</w:t>
      </w:r>
    </w:p>
    <w:p w14:paraId="5F827EA1" w14:textId="77777777" w:rsidR="00427DDA" w:rsidRPr="006D6798" w:rsidRDefault="00427DDA" w:rsidP="00837C5D">
      <w:pPr>
        <w:rPr>
          <w:szCs w:val="24"/>
        </w:rPr>
      </w:pPr>
    </w:p>
    <w:p w14:paraId="2C40BF5B" w14:textId="77777777" w:rsidR="00316A34" w:rsidRPr="006D6798" w:rsidRDefault="00316A34" w:rsidP="00837C5D">
      <w:pPr>
        <w:rPr>
          <w:szCs w:val="24"/>
        </w:rPr>
      </w:pPr>
      <w:r w:rsidRPr="006D6798">
        <w:rPr>
          <w:szCs w:val="24"/>
        </w:rPr>
        <w:t>All obligations must occur on or between the beginning and ending dates of the grant project.</w:t>
      </w:r>
      <w:r w:rsidR="00FE39E3" w:rsidRPr="006D6798">
        <w:rPr>
          <w:szCs w:val="24"/>
        </w:rPr>
        <w:t xml:space="preserve">  </w:t>
      </w:r>
      <w:r w:rsidRPr="006D6798">
        <w:rPr>
          <w:szCs w:val="24"/>
        </w:rPr>
        <w:t xml:space="preserve">This </w:t>
      </w:r>
      <w:proofErr w:type="gramStart"/>
      <w:r w:rsidRPr="006D6798">
        <w:rPr>
          <w:szCs w:val="24"/>
        </w:rPr>
        <w:t>period of time</w:t>
      </w:r>
      <w:proofErr w:type="gramEnd"/>
      <w:r w:rsidRPr="006D6798">
        <w:rPr>
          <w:szCs w:val="24"/>
        </w:rPr>
        <w:t xml:space="preserve"> is known as the period of performance. The period of performance is dictated by statute and will be indicated in the Grant Adjustment Notice (GAN). Further, certain grants have specific requirements for carryover funds that must be adhered to.</w:t>
      </w:r>
    </w:p>
    <w:p w14:paraId="6BC2323F" w14:textId="77777777" w:rsidR="00316A34" w:rsidRPr="006D6798" w:rsidRDefault="00316A34" w:rsidP="00837C5D">
      <w:pPr>
        <w:rPr>
          <w:szCs w:val="24"/>
        </w:rPr>
      </w:pPr>
      <w:r w:rsidRPr="006D6798">
        <w:rPr>
          <w:b/>
          <w:szCs w:val="24"/>
        </w:rPr>
        <w:lastRenderedPageBreak/>
        <w:t>State-Administered Grants:</w:t>
      </w:r>
      <w:r w:rsidRPr="006D6798">
        <w:rPr>
          <w:szCs w:val="24"/>
        </w:rPr>
        <w:t xml:space="preserve"> </w:t>
      </w:r>
      <w:proofErr w:type="gramStart"/>
      <w:r w:rsidRPr="006D6798">
        <w:rPr>
          <w:szCs w:val="24"/>
        </w:rPr>
        <w:t>As a general rule</w:t>
      </w:r>
      <w:proofErr w:type="gramEnd"/>
      <w:r w:rsidRPr="006D6798">
        <w:rPr>
          <w:szCs w:val="24"/>
        </w:rPr>
        <w:t xml:space="preserve">, state-administered federal funds are available for obligation within the year that Congress appropriates the funds for. However, given the unique nature of educational institutions, for many federal education grants, the period of availability is 27 months. Federal education grant funds are typically awarded on July 1 of each year. While the District will always plan to spend all current grant funds within the year the grant was appropriated for, the period of obligation for any grant that is covered by the “Tydings Amendment” is 27 months, extending from July 1 of the fiscal year for which the funds were appropriated through September 30 of the second following fiscal year. This maximum period includes a 15-month period of initial availability, plus a 12-month period for carryover. For example, funds awarded on July 1, </w:t>
      </w:r>
      <w:proofErr w:type="gramStart"/>
      <w:r w:rsidRPr="006D6798">
        <w:rPr>
          <w:szCs w:val="24"/>
        </w:rPr>
        <w:t>2015</w:t>
      </w:r>
      <w:proofErr w:type="gramEnd"/>
      <w:r w:rsidRPr="006D6798">
        <w:rPr>
          <w:szCs w:val="24"/>
        </w:rPr>
        <w:t xml:space="preserve"> would remain available for obligation through September 30, 2017. </w:t>
      </w:r>
    </w:p>
    <w:p w14:paraId="140E8A9C" w14:textId="77777777" w:rsidR="00316A34" w:rsidRPr="006D6798" w:rsidRDefault="00316A34" w:rsidP="00837C5D">
      <w:pPr>
        <w:ind w:left="360"/>
        <w:rPr>
          <w:szCs w:val="24"/>
        </w:rPr>
      </w:pPr>
    </w:p>
    <w:p w14:paraId="0CE82F8F" w14:textId="77777777" w:rsidR="00316A34" w:rsidRPr="006D6798" w:rsidRDefault="00316A34" w:rsidP="00837C5D">
      <w:pPr>
        <w:rPr>
          <w:szCs w:val="24"/>
        </w:rPr>
      </w:pPr>
      <w:r w:rsidRPr="006D6798">
        <w:rPr>
          <w:b/>
          <w:szCs w:val="24"/>
        </w:rPr>
        <w:t>Direct Grants:</w:t>
      </w:r>
      <w:r w:rsidRPr="006D6798">
        <w:rPr>
          <w:szCs w:val="24"/>
        </w:rPr>
        <w:t xml:space="preserve"> In general, the period of availability for </w:t>
      </w:r>
      <w:r w:rsidR="00386858" w:rsidRPr="006D6798">
        <w:rPr>
          <w:szCs w:val="24"/>
        </w:rPr>
        <w:t xml:space="preserve">federal </w:t>
      </w:r>
      <w:r w:rsidRPr="006D6798">
        <w:rPr>
          <w:szCs w:val="24"/>
        </w:rPr>
        <w:t xml:space="preserve">funds authorized under direct grants is identified in the GAN. </w:t>
      </w:r>
    </w:p>
    <w:p w14:paraId="42752CDB" w14:textId="77777777" w:rsidR="00316A34" w:rsidRPr="006D6798" w:rsidRDefault="00316A34" w:rsidP="00837C5D">
      <w:pPr>
        <w:ind w:left="360"/>
        <w:rPr>
          <w:szCs w:val="24"/>
        </w:rPr>
      </w:pPr>
    </w:p>
    <w:p w14:paraId="2446B855" w14:textId="77777777" w:rsidR="00316A34" w:rsidRPr="006D6798" w:rsidRDefault="00316A34" w:rsidP="00837C5D">
      <w:pPr>
        <w:rPr>
          <w:szCs w:val="24"/>
        </w:rPr>
      </w:pPr>
      <w:r w:rsidRPr="006D6798">
        <w:rPr>
          <w:szCs w:val="24"/>
        </w:rPr>
        <w:t xml:space="preserve">For both state-administered and direct grants, regardless of the period of availability, the </w:t>
      </w:r>
      <w:proofErr w:type="gramStart"/>
      <w:r w:rsidRPr="006D6798">
        <w:rPr>
          <w:szCs w:val="24"/>
        </w:rPr>
        <w:t>District</w:t>
      </w:r>
      <w:proofErr w:type="gramEnd"/>
      <w:r w:rsidRPr="006D6798">
        <w:rPr>
          <w:szCs w:val="24"/>
        </w:rPr>
        <w:t xml:space="preserve"> must liquidate all obligations incurred under the award not later than </w:t>
      </w:r>
      <w:r w:rsidR="002D6DF0" w:rsidRPr="006D6798">
        <w:rPr>
          <w:szCs w:val="24"/>
        </w:rPr>
        <w:t xml:space="preserve">120 </w:t>
      </w:r>
      <w:r w:rsidRPr="006D6798">
        <w:rPr>
          <w:szCs w:val="24"/>
        </w:rPr>
        <w:t xml:space="preserve">days after the end of the funding period unless an extension is authorized. Any funds not obligated within the period of availability or liquidated within the appropriate timeframe are said to lapse and must be returned to the awarding agency. Consequently, the District shall closely monitor grant spending throughout the grant cycle. </w:t>
      </w:r>
    </w:p>
    <w:p w14:paraId="481A6880" w14:textId="77777777" w:rsidR="006E1193" w:rsidRPr="006D6798" w:rsidRDefault="006E1193" w:rsidP="00837C5D">
      <w:pPr>
        <w:rPr>
          <w:szCs w:val="24"/>
        </w:rPr>
      </w:pPr>
    </w:p>
    <w:p w14:paraId="3827C540" w14:textId="77777777" w:rsidR="003641B2" w:rsidRPr="006D6798" w:rsidRDefault="006E1193" w:rsidP="00837C5D">
      <w:pPr>
        <w:rPr>
          <w:szCs w:val="24"/>
        </w:rPr>
      </w:pPr>
      <w:r w:rsidRPr="006D6798">
        <w:rPr>
          <w:szCs w:val="24"/>
        </w:rPr>
        <w:t xml:space="preserve">The </w:t>
      </w:r>
      <w:proofErr w:type="gramStart"/>
      <w:r w:rsidRPr="006D6798">
        <w:rPr>
          <w:szCs w:val="24"/>
        </w:rPr>
        <w:t>District</w:t>
      </w:r>
      <w:proofErr w:type="gramEnd"/>
      <w:r w:rsidRPr="006D6798">
        <w:rPr>
          <w:szCs w:val="24"/>
        </w:rPr>
        <w:t xml:space="preserve"> shall submit all financial, performance, and other reports required by the terms and conditions of the federal a</w:t>
      </w:r>
      <w:r w:rsidR="00386858" w:rsidRPr="006D6798">
        <w:rPr>
          <w:szCs w:val="24"/>
        </w:rPr>
        <w:t>ward before the end of this 120-</w:t>
      </w:r>
      <w:r w:rsidRPr="006D6798">
        <w:rPr>
          <w:szCs w:val="24"/>
        </w:rPr>
        <w:t>day period.</w:t>
      </w:r>
      <w:r w:rsidR="003641B2" w:rsidRPr="006D6798">
        <w:rPr>
          <w:szCs w:val="24"/>
        </w:rPr>
        <w:t xml:space="preserve"> Any such reports required to be submitted to a pass-through entity shall be provided w</w:t>
      </w:r>
      <w:r w:rsidR="001B7CE3" w:rsidRPr="006D6798">
        <w:rPr>
          <w:szCs w:val="24"/>
        </w:rPr>
        <w:t xml:space="preserve">ithin 90 days of the end of the </w:t>
      </w:r>
      <w:r w:rsidR="003641B2" w:rsidRPr="006D6798">
        <w:rPr>
          <w:szCs w:val="24"/>
        </w:rPr>
        <w:t>funding period, unless an extension is authorized.</w:t>
      </w:r>
    </w:p>
    <w:p w14:paraId="68C6FE6A" w14:textId="77777777" w:rsidR="00316A34" w:rsidRPr="006D6798" w:rsidRDefault="00316A34" w:rsidP="00837C5D">
      <w:pPr>
        <w:rPr>
          <w:szCs w:val="24"/>
        </w:rPr>
      </w:pPr>
    </w:p>
    <w:p w14:paraId="351B245E" w14:textId="77777777" w:rsidR="00316A34" w:rsidRPr="006D6798" w:rsidRDefault="00316A34" w:rsidP="00837C5D">
      <w:pPr>
        <w:pStyle w:val="Subtitle"/>
      </w:pPr>
      <w:r w:rsidRPr="006D6798">
        <w:t>Carryover</w:t>
      </w:r>
    </w:p>
    <w:p w14:paraId="6D4EE74A" w14:textId="77777777" w:rsidR="00316A34" w:rsidRPr="006D6798" w:rsidRDefault="00316A34" w:rsidP="00837C5D">
      <w:pPr>
        <w:ind w:left="360"/>
        <w:rPr>
          <w:szCs w:val="24"/>
        </w:rPr>
      </w:pPr>
    </w:p>
    <w:p w14:paraId="070BE41E" w14:textId="77777777" w:rsidR="00316A34" w:rsidRPr="006D6798" w:rsidRDefault="00316A34" w:rsidP="00837C5D">
      <w:pPr>
        <w:rPr>
          <w:szCs w:val="24"/>
        </w:rPr>
      </w:pPr>
      <w:r w:rsidRPr="006D6798">
        <w:rPr>
          <w:b/>
          <w:szCs w:val="24"/>
        </w:rPr>
        <w:t>State-Administered Grants:</w:t>
      </w:r>
      <w:r w:rsidRPr="006D6798">
        <w:rPr>
          <w:szCs w:val="24"/>
        </w:rPr>
        <w:t xml:space="preserve"> As described above, the Tydings Amendment extends the period of availability for applicable state-administered program funds. Essentially, it permits recipients to “carry over” any funds left over at the end of the initial </w:t>
      </w:r>
      <w:proofErr w:type="gramStart"/>
      <w:r w:rsidRPr="006D6798">
        <w:rPr>
          <w:szCs w:val="24"/>
        </w:rPr>
        <w:t>15 month</w:t>
      </w:r>
      <w:proofErr w:type="gramEnd"/>
      <w:r w:rsidRPr="006D6798">
        <w:rPr>
          <w:szCs w:val="24"/>
        </w:rPr>
        <w:t xml:space="preserve"> period into the next year. These leftover funds are typically referred to as carryover funds and continue to be available for obligation for an additional 12 months. Accordingly, the District may have multiple years of grant funds available under the same program at the same time.</w:t>
      </w:r>
    </w:p>
    <w:p w14:paraId="6E3B0B78" w14:textId="77777777" w:rsidR="00316A34" w:rsidRPr="006D6798" w:rsidRDefault="00316A34" w:rsidP="00837C5D">
      <w:pPr>
        <w:ind w:left="360"/>
        <w:rPr>
          <w:szCs w:val="24"/>
        </w:rPr>
      </w:pPr>
    </w:p>
    <w:p w14:paraId="6A33D9C0" w14:textId="77777777" w:rsidR="00D06DDD" w:rsidRPr="006D6798" w:rsidRDefault="00316A34" w:rsidP="00837C5D">
      <w:pPr>
        <w:rPr>
          <w:szCs w:val="24"/>
        </w:rPr>
      </w:pPr>
      <w:r w:rsidRPr="006D6798">
        <w:rPr>
          <w:szCs w:val="24"/>
        </w:rPr>
        <w:t>Any carryover in individual federal programs is determined in an annual audit performed each year according to GAAP and State statutes. After carryover amounts are determined, they are reported and administered according to specific federal award requirements as outlined in the individual program applications.</w:t>
      </w:r>
    </w:p>
    <w:p w14:paraId="62358EF6" w14:textId="77777777" w:rsidR="00743D84" w:rsidRPr="006D6798" w:rsidRDefault="00743D84" w:rsidP="00837C5D">
      <w:pPr>
        <w:rPr>
          <w:szCs w:val="24"/>
        </w:rPr>
      </w:pPr>
    </w:p>
    <w:p w14:paraId="3BBA6901" w14:textId="77777777" w:rsidR="003E09A3" w:rsidRPr="006D6798" w:rsidRDefault="003E09A3" w:rsidP="00837C5D">
      <w:pPr>
        <w:rPr>
          <w:szCs w:val="24"/>
          <w:u w:val="single"/>
        </w:rPr>
      </w:pPr>
    </w:p>
    <w:p w14:paraId="795B2BF1" w14:textId="77777777" w:rsidR="003E09A3" w:rsidRPr="006D6798" w:rsidRDefault="003E09A3" w:rsidP="00837C5D">
      <w:pPr>
        <w:rPr>
          <w:szCs w:val="24"/>
        </w:rPr>
      </w:pPr>
      <w:r w:rsidRPr="006D6798">
        <w:rPr>
          <w:szCs w:val="24"/>
          <w:u w:val="single"/>
        </w:rPr>
        <w:t>P</w:t>
      </w:r>
      <w:r w:rsidR="000A0ACB" w:rsidRPr="006D6798">
        <w:rPr>
          <w:szCs w:val="24"/>
          <w:u w:val="single"/>
        </w:rPr>
        <w:t>rocedure</w:t>
      </w:r>
      <w:r w:rsidRPr="006D6798">
        <w:rPr>
          <w:szCs w:val="24"/>
          <w:u w:val="single"/>
        </w:rPr>
        <w:t xml:space="preserve"> History:</w:t>
      </w:r>
    </w:p>
    <w:p w14:paraId="118D33D9" w14:textId="77777777" w:rsidR="00740CEF" w:rsidRDefault="00740CEF" w:rsidP="00740CEF">
      <w:r>
        <w:t>Adopted on: 6/10/25</w:t>
      </w:r>
    </w:p>
    <w:p w14:paraId="710AD3D6" w14:textId="77777777" w:rsidR="00740CEF" w:rsidRDefault="00740CEF" w:rsidP="00740CEF">
      <w:r>
        <w:t xml:space="preserve">Revised on: </w:t>
      </w:r>
    </w:p>
    <w:p w14:paraId="2CB5C7DE" w14:textId="3D1672AA" w:rsidR="002A58D9" w:rsidRPr="00740CEF" w:rsidRDefault="00740CEF" w:rsidP="00740CEF">
      <w:pPr>
        <w:rPr>
          <w:u w:val="single"/>
        </w:rPr>
      </w:pPr>
      <w:r>
        <w:t>Reviewed on: 5/6/25, 6/3/25</w:t>
      </w:r>
    </w:p>
    <w:sectPr w:rsidR="002A58D9" w:rsidRPr="00740CEF" w:rsidSect="009953C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F82AD" w14:textId="77777777" w:rsidR="002E3525" w:rsidRDefault="002E3525">
      <w:r>
        <w:separator/>
      </w:r>
    </w:p>
  </w:endnote>
  <w:endnote w:type="continuationSeparator" w:id="0">
    <w:p w14:paraId="286CB407" w14:textId="77777777" w:rsidR="002E3525" w:rsidRDefault="002E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8F3B7" w14:textId="77777777" w:rsidR="003C7045" w:rsidRDefault="003C7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D20F2" w14:textId="6FCD63C0" w:rsidR="00F63CED" w:rsidRPr="00BD168A" w:rsidRDefault="00F63CED">
    <w:pPr>
      <w:pStyle w:val="Footer"/>
      <w:rPr>
        <w:sz w:val="20"/>
      </w:rPr>
    </w:pPr>
    <w:r w:rsidRPr="00BD168A">
      <w:rPr>
        <w:sz w:val="20"/>
      </w:rPr>
      <w:tab/>
    </w:r>
    <w:r w:rsidR="002C3E58" w:rsidRPr="00BD168A">
      <w:rPr>
        <w:sz w:val="20"/>
      </w:rPr>
      <w:t>745</w:t>
    </w:r>
    <w:r w:rsidRPr="00BD168A">
      <w:rPr>
        <w:sz w:val="20"/>
      </w:rPr>
      <w:t>0</w:t>
    </w:r>
    <w:r w:rsidR="000A0ACB" w:rsidRPr="00BD168A">
      <w:rPr>
        <w:sz w:val="20"/>
      </w:rPr>
      <w:t>P1</w:t>
    </w:r>
    <w:r w:rsidRPr="00BD168A">
      <w:rPr>
        <w:sz w:val="20"/>
      </w:rPr>
      <w:t>-</w:t>
    </w:r>
    <w:r w:rsidRPr="00BD168A">
      <w:rPr>
        <w:rStyle w:val="PageNumber"/>
        <w:sz w:val="20"/>
      </w:rPr>
      <w:fldChar w:fldCharType="begin"/>
    </w:r>
    <w:r w:rsidRPr="00BD168A">
      <w:rPr>
        <w:rStyle w:val="PageNumber"/>
        <w:sz w:val="20"/>
      </w:rPr>
      <w:instrText xml:space="preserve"> PAGE </w:instrText>
    </w:r>
    <w:r w:rsidRPr="00BD168A">
      <w:rPr>
        <w:rStyle w:val="PageNumber"/>
        <w:sz w:val="20"/>
      </w:rPr>
      <w:fldChar w:fldCharType="separate"/>
    </w:r>
    <w:r w:rsidR="006D6798">
      <w:rPr>
        <w:rStyle w:val="PageNumber"/>
        <w:noProof/>
        <w:sz w:val="20"/>
      </w:rPr>
      <w:t>3</w:t>
    </w:r>
    <w:r w:rsidRPr="00BD168A">
      <w:rPr>
        <w:rStyle w:val="PageNumber"/>
        <w:sz w:val="20"/>
      </w:rPr>
      <w:fldChar w:fldCharType="end"/>
    </w:r>
    <w:r w:rsidRPr="00BD168A">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A41F" w14:textId="77777777" w:rsidR="003C7045" w:rsidRDefault="003C7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15182" w14:textId="77777777" w:rsidR="002E3525" w:rsidRDefault="002E3525">
      <w:r>
        <w:separator/>
      </w:r>
    </w:p>
  </w:footnote>
  <w:footnote w:type="continuationSeparator" w:id="0">
    <w:p w14:paraId="79D04C01" w14:textId="77777777" w:rsidR="002E3525" w:rsidRDefault="002E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242C1" w14:textId="77777777" w:rsidR="003C7045" w:rsidRDefault="003C7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7CB94" w14:textId="77777777" w:rsidR="003C7045" w:rsidRDefault="003C7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5DC47" w14:textId="77777777" w:rsidR="003C7045" w:rsidRDefault="003C7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C683C"/>
    <w:multiLevelType w:val="hybridMultilevel"/>
    <w:tmpl w:val="DF02D5AE"/>
    <w:lvl w:ilvl="0" w:tplc="232E21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83A17"/>
    <w:multiLevelType w:val="hybridMultilevel"/>
    <w:tmpl w:val="B6EC1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E0C70"/>
    <w:multiLevelType w:val="hybridMultilevel"/>
    <w:tmpl w:val="38C2D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9667399">
    <w:abstractNumId w:val="2"/>
  </w:num>
  <w:num w:numId="2" w16cid:durableId="34693811">
    <w:abstractNumId w:val="1"/>
  </w:num>
  <w:num w:numId="3" w16cid:durableId="997928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45CF"/>
    <w:rsid w:val="00004109"/>
    <w:rsid w:val="00021E22"/>
    <w:rsid w:val="0002635D"/>
    <w:rsid w:val="00040C65"/>
    <w:rsid w:val="00055A13"/>
    <w:rsid w:val="000836B1"/>
    <w:rsid w:val="000A0ACB"/>
    <w:rsid w:val="000D2B4B"/>
    <w:rsid w:val="000E0516"/>
    <w:rsid w:val="000F78D6"/>
    <w:rsid w:val="00122998"/>
    <w:rsid w:val="00124638"/>
    <w:rsid w:val="0015641E"/>
    <w:rsid w:val="00173C0D"/>
    <w:rsid w:val="001B3333"/>
    <w:rsid w:val="001B7CE3"/>
    <w:rsid w:val="001C362E"/>
    <w:rsid w:val="001E20D3"/>
    <w:rsid w:val="00202FB9"/>
    <w:rsid w:val="00225D70"/>
    <w:rsid w:val="00230FE7"/>
    <w:rsid w:val="00252D1B"/>
    <w:rsid w:val="00275C9C"/>
    <w:rsid w:val="00283E5F"/>
    <w:rsid w:val="00285EAD"/>
    <w:rsid w:val="00285F5C"/>
    <w:rsid w:val="002A58D9"/>
    <w:rsid w:val="002C0341"/>
    <w:rsid w:val="002C3E58"/>
    <w:rsid w:val="002D6DF0"/>
    <w:rsid w:val="002E3525"/>
    <w:rsid w:val="0030131E"/>
    <w:rsid w:val="00301E64"/>
    <w:rsid w:val="0031116D"/>
    <w:rsid w:val="003135E2"/>
    <w:rsid w:val="00316A34"/>
    <w:rsid w:val="00336477"/>
    <w:rsid w:val="00336A10"/>
    <w:rsid w:val="003438DA"/>
    <w:rsid w:val="00344576"/>
    <w:rsid w:val="00354C45"/>
    <w:rsid w:val="00356727"/>
    <w:rsid w:val="00360651"/>
    <w:rsid w:val="003641B2"/>
    <w:rsid w:val="00377544"/>
    <w:rsid w:val="00386858"/>
    <w:rsid w:val="00397BCB"/>
    <w:rsid w:val="003B61BE"/>
    <w:rsid w:val="003C7045"/>
    <w:rsid w:val="003D606A"/>
    <w:rsid w:val="003D7D6A"/>
    <w:rsid w:val="003E09A3"/>
    <w:rsid w:val="003E4A90"/>
    <w:rsid w:val="003F3002"/>
    <w:rsid w:val="00410146"/>
    <w:rsid w:val="004129ED"/>
    <w:rsid w:val="00427DDA"/>
    <w:rsid w:val="004A00A9"/>
    <w:rsid w:val="004A4BEC"/>
    <w:rsid w:val="004A55A4"/>
    <w:rsid w:val="004C2824"/>
    <w:rsid w:val="004C6FF1"/>
    <w:rsid w:val="004D5A2A"/>
    <w:rsid w:val="004D6707"/>
    <w:rsid w:val="004E0D02"/>
    <w:rsid w:val="004F3C26"/>
    <w:rsid w:val="004F3F88"/>
    <w:rsid w:val="0054013F"/>
    <w:rsid w:val="00543E23"/>
    <w:rsid w:val="00560CE4"/>
    <w:rsid w:val="005647E4"/>
    <w:rsid w:val="00585D92"/>
    <w:rsid w:val="005C3DC0"/>
    <w:rsid w:val="005F086B"/>
    <w:rsid w:val="006156B7"/>
    <w:rsid w:val="006357D2"/>
    <w:rsid w:val="0063598B"/>
    <w:rsid w:val="006423E7"/>
    <w:rsid w:val="006466D5"/>
    <w:rsid w:val="006921E5"/>
    <w:rsid w:val="00694C96"/>
    <w:rsid w:val="006B6A25"/>
    <w:rsid w:val="006D477E"/>
    <w:rsid w:val="006D6798"/>
    <w:rsid w:val="006E1193"/>
    <w:rsid w:val="006E1203"/>
    <w:rsid w:val="006E46A7"/>
    <w:rsid w:val="006E48C5"/>
    <w:rsid w:val="006F5C34"/>
    <w:rsid w:val="00704206"/>
    <w:rsid w:val="00710DF7"/>
    <w:rsid w:val="00717169"/>
    <w:rsid w:val="007245CF"/>
    <w:rsid w:val="00740CEF"/>
    <w:rsid w:val="007413F6"/>
    <w:rsid w:val="00743D84"/>
    <w:rsid w:val="00763CED"/>
    <w:rsid w:val="007956B1"/>
    <w:rsid w:val="007E18DC"/>
    <w:rsid w:val="0081328D"/>
    <w:rsid w:val="008231FD"/>
    <w:rsid w:val="0082476F"/>
    <w:rsid w:val="00837C5D"/>
    <w:rsid w:val="008442A4"/>
    <w:rsid w:val="008446FC"/>
    <w:rsid w:val="0084565F"/>
    <w:rsid w:val="00857FC1"/>
    <w:rsid w:val="00860575"/>
    <w:rsid w:val="008C3275"/>
    <w:rsid w:val="008C72C0"/>
    <w:rsid w:val="00921F4F"/>
    <w:rsid w:val="00933910"/>
    <w:rsid w:val="00974D6E"/>
    <w:rsid w:val="009874CF"/>
    <w:rsid w:val="009953C7"/>
    <w:rsid w:val="00995B86"/>
    <w:rsid w:val="009C0910"/>
    <w:rsid w:val="009D19A7"/>
    <w:rsid w:val="00A079FA"/>
    <w:rsid w:val="00A243CC"/>
    <w:rsid w:val="00A46CBF"/>
    <w:rsid w:val="00A505F2"/>
    <w:rsid w:val="00A71DA0"/>
    <w:rsid w:val="00A72F8A"/>
    <w:rsid w:val="00A8655A"/>
    <w:rsid w:val="00AB3E13"/>
    <w:rsid w:val="00AC2D15"/>
    <w:rsid w:val="00AF0E6F"/>
    <w:rsid w:val="00B12541"/>
    <w:rsid w:val="00B25A68"/>
    <w:rsid w:val="00B51C81"/>
    <w:rsid w:val="00B52EA5"/>
    <w:rsid w:val="00B878F2"/>
    <w:rsid w:val="00B906CC"/>
    <w:rsid w:val="00B93509"/>
    <w:rsid w:val="00BB1ADA"/>
    <w:rsid w:val="00BB693F"/>
    <w:rsid w:val="00BC7C47"/>
    <w:rsid w:val="00BD168A"/>
    <w:rsid w:val="00BE3010"/>
    <w:rsid w:val="00BF3A86"/>
    <w:rsid w:val="00C17FCC"/>
    <w:rsid w:val="00C41AFD"/>
    <w:rsid w:val="00C53027"/>
    <w:rsid w:val="00C644E7"/>
    <w:rsid w:val="00C80D7A"/>
    <w:rsid w:val="00CA3BBF"/>
    <w:rsid w:val="00CA68C6"/>
    <w:rsid w:val="00CE0514"/>
    <w:rsid w:val="00CF1470"/>
    <w:rsid w:val="00D06DDD"/>
    <w:rsid w:val="00D21739"/>
    <w:rsid w:val="00D21CE0"/>
    <w:rsid w:val="00D269A2"/>
    <w:rsid w:val="00D36B29"/>
    <w:rsid w:val="00D73FC9"/>
    <w:rsid w:val="00DA01B0"/>
    <w:rsid w:val="00DA3E51"/>
    <w:rsid w:val="00DD1667"/>
    <w:rsid w:val="00DF0E47"/>
    <w:rsid w:val="00E06E8B"/>
    <w:rsid w:val="00E132F0"/>
    <w:rsid w:val="00E15DBA"/>
    <w:rsid w:val="00E26325"/>
    <w:rsid w:val="00E715BE"/>
    <w:rsid w:val="00E7218F"/>
    <w:rsid w:val="00E844A9"/>
    <w:rsid w:val="00E84F38"/>
    <w:rsid w:val="00EE0D6C"/>
    <w:rsid w:val="00F042DD"/>
    <w:rsid w:val="00F2382C"/>
    <w:rsid w:val="00F3148C"/>
    <w:rsid w:val="00F31F13"/>
    <w:rsid w:val="00F56511"/>
    <w:rsid w:val="00F63CED"/>
    <w:rsid w:val="00F66FAC"/>
    <w:rsid w:val="00F67420"/>
    <w:rsid w:val="00F734A8"/>
    <w:rsid w:val="00F76CE9"/>
    <w:rsid w:val="00F81DC2"/>
    <w:rsid w:val="00FE1048"/>
    <w:rsid w:val="00FE39E3"/>
    <w:rsid w:val="00F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A3DC9"/>
  <w15:chartTrackingRefBased/>
  <w15:docId w15:val="{2435CC81-13C0-4623-BDA6-DF862D66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68A"/>
    <w:pPr>
      <w:overflowPunct w:val="0"/>
      <w:autoSpaceDE w:val="0"/>
      <w:autoSpaceDN w:val="0"/>
      <w:adjustRightInd w:val="0"/>
      <w:textAlignment w:val="baseline"/>
    </w:pPr>
    <w:rPr>
      <w:sz w:val="24"/>
    </w:rPr>
  </w:style>
  <w:style w:type="paragraph" w:styleId="Heading1">
    <w:name w:val="heading 1"/>
    <w:basedOn w:val="Normal"/>
    <w:next w:val="Normal"/>
    <w:qFormat/>
    <w:rsid w:val="00B25A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7245CF"/>
    <w:pPr>
      <w:tabs>
        <w:tab w:val="center" w:pos="4320"/>
        <w:tab w:val="right" w:pos="8640"/>
      </w:tabs>
    </w:pPr>
  </w:style>
  <w:style w:type="paragraph" w:styleId="Footer">
    <w:name w:val="footer"/>
    <w:basedOn w:val="Normal"/>
    <w:rsid w:val="007245CF"/>
    <w:pPr>
      <w:tabs>
        <w:tab w:val="center" w:pos="4320"/>
        <w:tab w:val="right" w:pos="8640"/>
      </w:tabs>
    </w:pPr>
  </w:style>
  <w:style w:type="character" w:styleId="PageNumber">
    <w:name w:val="page number"/>
    <w:basedOn w:val="DefaultParagraphFont"/>
    <w:rsid w:val="007245CF"/>
  </w:style>
  <w:style w:type="table" w:styleId="TableGrid">
    <w:name w:val="Table Grid"/>
    <w:basedOn w:val="TableNormal"/>
    <w:rsid w:val="00E84F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22998"/>
    <w:rPr>
      <w:sz w:val="16"/>
      <w:szCs w:val="16"/>
    </w:rPr>
  </w:style>
  <w:style w:type="paragraph" w:styleId="CommentText">
    <w:name w:val="annotation text"/>
    <w:basedOn w:val="Normal"/>
    <w:link w:val="CommentTextChar"/>
    <w:rsid w:val="00122998"/>
  </w:style>
  <w:style w:type="character" w:customStyle="1" w:styleId="CommentTextChar">
    <w:name w:val="Comment Text Char"/>
    <w:basedOn w:val="DefaultParagraphFont"/>
    <w:link w:val="CommentText"/>
    <w:rsid w:val="00122998"/>
  </w:style>
  <w:style w:type="paragraph" w:styleId="CommentSubject">
    <w:name w:val="annotation subject"/>
    <w:basedOn w:val="CommentText"/>
    <w:next w:val="CommentText"/>
    <w:link w:val="CommentSubjectChar"/>
    <w:rsid w:val="00122998"/>
    <w:rPr>
      <w:b/>
      <w:bCs/>
    </w:rPr>
  </w:style>
  <w:style w:type="character" w:customStyle="1" w:styleId="CommentSubjectChar">
    <w:name w:val="Comment Subject Char"/>
    <w:link w:val="CommentSubject"/>
    <w:rsid w:val="00122998"/>
    <w:rPr>
      <w:b/>
      <w:bCs/>
    </w:rPr>
  </w:style>
  <w:style w:type="paragraph" w:styleId="BalloonText">
    <w:name w:val="Balloon Text"/>
    <w:basedOn w:val="Normal"/>
    <w:link w:val="BalloonTextChar"/>
    <w:rsid w:val="00122998"/>
    <w:rPr>
      <w:rFonts w:ascii="Tahoma" w:hAnsi="Tahoma" w:cs="Tahoma"/>
      <w:sz w:val="16"/>
      <w:szCs w:val="16"/>
    </w:rPr>
  </w:style>
  <w:style w:type="character" w:customStyle="1" w:styleId="BalloonTextChar">
    <w:name w:val="Balloon Text Char"/>
    <w:link w:val="BalloonText"/>
    <w:rsid w:val="00122998"/>
    <w:rPr>
      <w:rFonts w:ascii="Tahoma" w:hAnsi="Tahoma" w:cs="Tahoma"/>
      <w:sz w:val="16"/>
      <w:szCs w:val="16"/>
    </w:rPr>
  </w:style>
  <w:style w:type="character" w:styleId="Hyperlink">
    <w:name w:val="Hyperlink"/>
    <w:rsid w:val="003135E2"/>
    <w:rPr>
      <w:color w:val="0000FF"/>
      <w:u w:val="single"/>
    </w:rPr>
  </w:style>
  <w:style w:type="paragraph" w:styleId="Subtitle">
    <w:name w:val="Subtitle"/>
    <w:basedOn w:val="Normal"/>
    <w:next w:val="Normal"/>
    <w:link w:val="SubtitleChar"/>
    <w:qFormat/>
    <w:rsid w:val="00B25A68"/>
    <w:pPr>
      <w:outlineLvl w:val="1"/>
    </w:pPr>
    <w:rPr>
      <w:szCs w:val="24"/>
      <w:u w:val="single"/>
    </w:rPr>
  </w:style>
  <w:style w:type="character" w:customStyle="1" w:styleId="SubtitleChar">
    <w:name w:val="Subtitle Char"/>
    <w:link w:val="Subtitle"/>
    <w:rsid w:val="00B25A68"/>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80724">
      <w:bodyDiv w:val="1"/>
      <w:marLeft w:val="0"/>
      <w:marRight w:val="0"/>
      <w:marTop w:val="0"/>
      <w:marBottom w:val="0"/>
      <w:divBdr>
        <w:top w:val="none" w:sz="0" w:space="0" w:color="auto"/>
        <w:left w:val="none" w:sz="0" w:space="0" w:color="auto"/>
        <w:bottom w:val="none" w:sz="0" w:space="0" w:color="auto"/>
        <w:right w:val="none" w:sz="0" w:space="0" w:color="auto"/>
      </w:divBdr>
    </w:div>
    <w:div w:id="16106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478971-EC21-4E7F-BA9F-1EFAC5B72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72836-0B41-41C9-BA99-9C051BC83FC8}">
  <ds:schemaRefs>
    <ds:schemaRef ds:uri="http://schemas.microsoft.com/sharepoint/v3/contenttype/forms"/>
  </ds:schemaRefs>
</ds:datastoreItem>
</file>

<file path=customXml/itemProps3.xml><?xml version="1.0" encoding="utf-8"?>
<ds:datastoreItem xmlns:ds="http://schemas.openxmlformats.org/officeDocument/2006/customXml" ds:itemID="{518B324F-3D0A-4FD6-AF7B-F61E5C51AADF}">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Preferred Customer</dc:creator>
  <cp:keywords/>
  <cp:lastModifiedBy>April Hoy</cp:lastModifiedBy>
  <cp:revision>8</cp:revision>
  <cp:lastPrinted>2016-02-04T17:26:00Z</cp:lastPrinted>
  <dcterms:created xsi:type="dcterms:W3CDTF">2022-08-05T17:29:00Z</dcterms:created>
  <dcterms:modified xsi:type="dcterms:W3CDTF">2025-07-01T22:30:00Z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267400</vt:r8>
  </property>
  <property fmtid="{D5CDD505-2E9C-101B-9397-08002B2CF9AE}" pid="4" name="MediaServiceImageTags">
    <vt:lpwstr/>
  </property>
</Properties>
</file>